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1C2E" w14:textId="77777777" w:rsidR="00F62376" w:rsidRDefault="00F62376" w:rsidP="00F62376">
      <w:pPr>
        <w:shd w:val="clear" w:color="auto" w:fill="FFFFCC"/>
        <w:ind w:right="2304"/>
        <w:rPr>
          <w:rFonts w:ascii="Times New Roman" w:hAnsi="Times New Roman" w:cs="Times New Roman"/>
          <w:b/>
          <w:bCs/>
          <w:color w:val="1B1B1B"/>
          <w:sz w:val="24"/>
          <w:szCs w:val="24"/>
          <w:shd w:val="clear" w:color="auto" w:fill="FFFFCC"/>
        </w:rPr>
      </w:pPr>
      <w:r>
        <w:rPr>
          <w:rFonts w:ascii="Times New Roman" w:hAnsi="Times New Roman" w:cs="Times New Roman"/>
          <w:b/>
          <w:bCs/>
          <w:color w:val="1B1B1B"/>
          <w:sz w:val="24"/>
          <w:szCs w:val="24"/>
          <w:shd w:val="clear" w:color="auto" w:fill="FFFFCC"/>
        </w:rPr>
        <w:t xml:space="preserve">The Office of Refugee Resettlement (ORR) within the Administration for Children and Families (ACF) has announced the availability of $5,000,000 </w:t>
      </w:r>
      <w:r>
        <w:rPr>
          <w:rFonts w:ascii="Times New Roman" w:hAnsi="Times New Roman" w:cs="Times New Roman"/>
          <w:b/>
          <w:bCs/>
          <w:color w:val="000000"/>
          <w:sz w:val="24"/>
          <w:szCs w:val="24"/>
          <w:shd w:val="clear" w:color="auto" w:fill="FFFFCC"/>
        </w:rPr>
        <w:t xml:space="preserve">for the </w:t>
      </w:r>
      <w:r>
        <w:rPr>
          <w:rFonts w:ascii="Times New Roman" w:hAnsi="Times New Roman" w:cs="Times New Roman"/>
          <w:b/>
          <w:bCs/>
          <w:color w:val="C00000"/>
          <w:sz w:val="24"/>
          <w:szCs w:val="24"/>
          <w:shd w:val="clear" w:color="auto" w:fill="FFFFCC"/>
        </w:rPr>
        <w:t xml:space="preserve">Refugee Career Pathways (RCP) program </w:t>
      </w:r>
      <w:r>
        <w:rPr>
          <w:rFonts w:ascii="Times New Roman" w:hAnsi="Times New Roman" w:cs="Times New Roman"/>
          <w:b/>
          <w:bCs/>
          <w:color w:val="1B1B1B"/>
          <w:sz w:val="24"/>
          <w:szCs w:val="24"/>
          <w:shd w:val="clear" w:color="auto" w:fill="FFFFCC"/>
        </w:rPr>
        <w:t>with the projected award of 15 grants.</w:t>
      </w:r>
    </w:p>
    <w:p w14:paraId="58F0E694" w14:textId="77777777" w:rsidR="00F62376" w:rsidRDefault="00F62376" w:rsidP="00F62376">
      <w:pPr>
        <w:ind w:right="2304"/>
        <w:rPr>
          <w:rFonts w:ascii="Times New Roman" w:hAnsi="Times New Roman" w:cs="Times New Roman"/>
          <w:color w:val="1B1B1B"/>
          <w:sz w:val="24"/>
          <w:szCs w:val="24"/>
          <w:shd w:val="clear" w:color="auto" w:fill="FFFFFF"/>
        </w:rPr>
      </w:pPr>
    </w:p>
    <w:p w14:paraId="2CCA9BC0" w14:textId="77777777" w:rsidR="00F62376" w:rsidRDefault="00F62376" w:rsidP="00F62376">
      <w:pPr>
        <w:ind w:right="2304"/>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Through the RCP program, ORR will provide funding to enable refugees and other eligible populations to achieve self-sufficiency by obtaining the means to secure professional or skilled employment drawing upon previously acquired knowledge, skills, and experience. </w:t>
      </w:r>
      <w:r>
        <w:rPr>
          <w:rFonts w:ascii="Times New Roman" w:hAnsi="Times New Roman" w:cs="Times New Roman"/>
          <w:b/>
          <w:bCs/>
          <w:color w:val="1B1B1B"/>
          <w:sz w:val="24"/>
          <w:szCs w:val="24"/>
          <w:u w:val="single"/>
          <w:shd w:val="clear" w:color="auto" w:fill="FFFFFF"/>
        </w:rPr>
        <w:t>Under the RCP program, the primary focus is to assist participants in learning about career pathways and developing individualized plans to gain employment and advance within their chosen career field.</w:t>
      </w:r>
      <w:r>
        <w:rPr>
          <w:rFonts w:ascii="Times New Roman" w:hAnsi="Times New Roman" w:cs="Times New Roman"/>
          <w:color w:val="1B1B1B"/>
          <w:sz w:val="24"/>
          <w:szCs w:val="24"/>
          <w:shd w:val="clear" w:color="auto" w:fill="FFFFFF"/>
        </w:rPr>
        <w:t xml:space="preserve"> Allowable activities will include case management, training and technical assistance, specialized English language training, and mentoring. In addition, eligible refugee participants may receive federal financial assistance for costs related to the establishment or re-establishment of credentials, such as obtaining educational credits or enrollment in required certification programs. </w:t>
      </w:r>
      <w:r>
        <w:rPr>
          <w:rFonts w:ascii="Times New Roman" w:hAnsi="Times New Roman" w:cs="Times New Roman"/>
          <w:b/>
          <w:bCs/>
          <w:color w:val="1B1B1B"/>
          <w:sz w:val="24"/>
          <w:szCs w:val="24"/>
          <w:shd w:val="clear" w:color="auto" w:fill="FFFFFF"/>
        </w:rPr>
        <w:t xml:space="preserve">ORR is requiring that RCP programs have a partnership with at least one educational institution (i.e., university, college, </w:t>
      </w:r>
      <w:r>
        <w:rPr>
          <w:rFonts w:ascii="Times New Roman" w:hAnsi="Times New Roman" w:cs="Times New Roman"/>
          <w:b/>
          <w:bCs/>
          <w:color w:val="1B1B1B"/>
          <w:sz w:val="24"/>
          <w:szCs w:val="24"/>
          <w:u w:val="single"/>
          <w:shd w:val="clear" w:color="auto" w:fill="FFFFFF"/>
        </w:rPr>
        <w:t>community college</w:t>
      </w:r>
      <w:r>
        <w:rPr>
          <w:rFonts w:ascii="Times New Roman" w:hAnsi="Times New Roman" w:cs="Times New Roman"/>
          <w:b/>
          <w:bCs/>
          <w:color w:val="1B1B1B"/>
          <w:sz w:val="24"/>
          <w:szCs w:val="24"/>
          <w:shd w:val="clear" w:color="auto" w:fill="FFFFFF"/>
        </w:rPr>
        <w:t xml:space="preserve">, or other institution with expertise in </w:t>
      </w:r>
      <w:r>
        <w:rPr>
          <w:rFonts w:ascii="Times New Roman" w:hAnsi="Times New Roman" w:cs="Times New Roman"/>
          <w:b/>
          <w:bCs/>
          <w:color w:val="1B1B1B"/>
          <w:sz w:val="24"/>
          <w:szCs w:val="24"/>
          <w:u w:val="single"/>
          <w:shd w:val="clear" w:color="auto" w:fill="FFFFFF"/>
        </w:rPr>
        <w:t>career and technical education</w:t>
      </w:r>
      <w:r>
        <w:rPr>
          <w:rFonts w:ascii="Times New Roman" w:hAnsi="Times New Roman" w:cs="Times New Roman"/>
          <w:b/>
          <w:bCs/>
          <w:color w:val="1B1B1B"/>
          <w:sz w:val="24"/>
          <w:szCs w:val="24"/>
          <w:shd w:val="clear" w:color="auto" w:fill="FFFFFF"/>
        </w:rPr>
        <w:t>) to facilitate career opportunities in ways that supplement, rather than supplant, existing services</w:t>
      </w:r>
      <w:r>
        <w:rPr>
          <w:rFonts w:ascii="Times New Roman" w:hAnsi="Times New Roman" w:cs="Times New Roman"/>
          <w:color w:val="1B1B1B"/>
          <w:sz w:val="24"/>
          <w:szCs w:val="24"/>
          <w:shd w:val="clear" w:color="auto" w:fill="FFFFFF"/>
        </w:rPr>
        <w:t>. RCP programs implemented by an educational institution must collaborate with at least one refugee-focused entity (i.e., resettlement office and/or other organization with programming specifically aimed at refugees.</w:t>
      </w:r>
    </w:p>
    <w:p w14:paraId="73C5E25F" w14:textId="77777777" w:rsidR="00F62376" w:rsidRDefault="00F62376" w:rsidP="00F62376">
      <w:pPr>
        <w:ind w:right="2304"/>
        <w:rPr>
          <w:rFonts w:ascii="Times New Roman" w:hAnsi="Times New Roman" w:cs="Times New Roman"/>
          <w:color w:val="1B1B1B"/>
          <w:sz w:val="24"/>
          <w:szCs w:val="24"/>
          <w:shd w:val="clear" w:color="auto" w:fill="FFFFFF"/>
        </w:rPr>
      </w:pPr>
    </w:p>
    <w:p w14:paraId="098A5D9C" w14:textId="77777777" w:rsidR="00F62376" w:rsidRDefault="00F62376" w:rsidP="00F62376">
      <w:pPr>
        <w:ind w:right="2304"/>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The solicitation may be found </w:t>
      </w:r>
      <w:hyperlink r:id="rId5" w:history="1">
        <w:r>
          <w:rPr>
            <w:rStyle w:val="Hyperlink"/>
            <w:rFonts w:ascii="Times New Roman" w:hAnsi="Times New Roman" w:cs="Times New Roman"/>
            <w:sz w:val="24"/>
            <w:szCs w:val="24"/>
            <w:shd w:val="clear" w:color="auto" w:fill="FFFFFF"/>
          </w:rPr>
          <w:t>here</w:t>
        </w:r>
      </w:hyperlink>
      <w:r>
        <w:rPr>
          <w:rFonts w:ascii="Times New Roman" w:hAnsi="Times New Roman" w:cs="Times New Roman"/>
          <w:color w:val="1B1B1B"/>
          <w:sz w:val="24"/>
          <w:szCs w:val="24"/>
          <w:shd w:val="clear" w:color="auto" w:fill="FFFFFF"/>
        </w:rPr>
        <w:t xml:space="preserve">.  </w:t>
      </w:r>
      <w:r w:rsidRPr="00F62376">
        <w:rPr>
          <w:rFonts w:ascii="Times New Roman" w:hAnsi="Times New Roman" w:cs="Times New Roman"/>
          <w:color w:val="1B1B1B"/>
          <w:sz w:val="24"/>
          <w:szCs w:val="24"/>
          <w:highlight w:val="yellow"/>
          <w:shd w:val="clear" w:color="auto" w:fill="FFFFFF"/>
        </w:rPr>
        <w:t>Applications are due by June 28.</w:t>
      </w:r>
    </w:p>
    <w:p w14:paraId="1C35F055" w14:textId="77777777" w:rsidR="00F62376" w:rsidRDefault="00F62376" w:rsidP="00F62376">
      <w:pPr>
        <w:ind w:right="2304"/>
        <w:rPr>
          <w:rFonts w:ascii="Times New Roman" w:hAnsi="Times New Roman" w:cs="Times New Roman"/>
          <w:color w:val="1B1B1B"/>
          <w:sz w:val="24"/>
          <w:szCs w:val="24"/>
          <w:shd w:val="clear" w:color="auto" w:fill="FFFFFF"/>
        </w:rPr>
      </w:pPr>
    </w:p>
    <w:tbl>
      <w:tblPr>
        <w:tblW w:w="0" w:type="auto"/>
        <w:tblCellMar>
          <w:left w:w="0" w:type="dxa"/>
          <w:right w:w="0" w:type="dxa"/>
        </w:tblCellMar>
        <w:tblLook w:val="04A0" w:firstRow="1" w:lastRow="0" w:firstColumn="1" w:lastColumn="0" w:noHBand="0" w:noVBand="1"/>
      </w:tblPr>
      <w:tblGrid>
        <w:gridCol w:w="6098"/>
        <w:gridCol w:w="4682"/>
      </w:tblGrid>
      <w:tr w:rsidR="00F62376" w14:paraId="1F7F3E65" w14:textId="77777777" w:rsidTr="00F62376">
        <w:tc>
          <w:tcPr>
            <w:tcW w:w="7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51AB5E" w14:textId="77777777" w:rsidR="00F62376" w:rsidRDefault="00F62376">
            <w:pPr>
              <w:ind w:left="15"/>
              <w:rPr>
                <w:rFonts w:ascii="Times New Roman" w:hAnsi="Times New Roman" w:cs="Times New Roman"/>
                <w:b/>
                <w:bCs/>
                <w:color w:val="1B1B1B"/>
                <w:sz w:val="24"/>
                <w:szCs w:val="24"/>
              </w:rPr>
            </w:pPr>
            <w:bookmarkStart w:id="0" w:name="link1"/>
            <w:r>
              <w:rPr>
                <w:rFonts w:ascii="Times New Roman" w:hAnsi="Times New Roman" w:cs="Times New Roman"/>
                <w:b/>
                <w:bCs/>
                <w:color w:val="1B1B1B"/>
                <w:sz w:val="24"/>
                <w:szCs w:val="24"/>
              </w:rPr>
              <w:t xml:space="preserve">Eligible Applicants:                                                           </w:t>
            </w:r>
          </w:p>
          <w:p w14:paraId="442821B8"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Independent school districts</w:t>
            </w:r>
          </w:p>
          <w:p w14:paraId="52A27140"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Native American tribal organizations (other than </w:t>
            </w:r>
            <w:proofErr w:type="gramStart"/>
            <w:r>
              <w:rPr>
                <w:rFonts w:ascii="Times New Roman" w:eastAsia="Times New Roman" w:hAnsi="Times New Roman" w:cs="Times New Roman"/>
                <w:color w:val="1B1B1B"/>
                <w:sz w:val="24"/>
                <w:szCs w:val="24"/>
              </w:rPr>
              <w:t>Federally</w:t>
            </w:r>
            <w:proofErr w:type="gramEnd"/>
            <w:r>
              <w:rPr>
                <w:rFonts w:ascii="Times New Roman" w:eastAsia="Times New Roman" w:hAnsi="Times New Roman" w:cs="Times New Roman"/>
                <w:color w:val="1B1B1B"/>
                <w:sz w:val="24"/>
                <w:szCs w:val="24"/>
              </w:rPr>
              <w:t xml:space="preserve"> recognized tribal governments)</w:t>
            </w:r>
          </w:p>
          <w:p w14:paraId="3CDF832F"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County governments</w:t>
            </w:r>
          </w:p>
          <w:p w14:paraId="65B8813B"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Nonprofits that do not have a 501(c)(3) status with the IRS, other than institutions of higher </w:t>
            </w:r>
            <w:proofErr w:type="gramStart"/>
            <w:r>
              <w:rPr>
                <w:rFonts w:ascii="Times New Roman" w:eastAsia="Times New Roman" w:hAnsi="Times New Roman" w:cs="Times New Roman"/>
                <w:color w:val="1B1B1B"/>
                <w:sz w:val="24"/>
                <w:szCs w:val="24"/>
              </w:rPr>
              <w:t>education</w:t>
            </w:r>
            <w:proofErr w:type="gramEnd"/>
          </w:p>
          <w:p w14:paraId="7242A87F"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Nonprofits having a 501(c)(3) status with the IRS, other than institutions of higher </w:t>
            </w:r>
            <w:proofErr w:type="gramStart"/>
            <w:r>
              <w:rPr>
                <w:rFonts w:ascii="Times New Roman" w:eastAsia="Times New Roman" w:hAnsi="Times New Roman" w:cs="Times New Roman"/>
                <w:color w:val="1B1B1B"/>
                <w:sz w:val="24"/>
                <w:szCs w:val="24"/>
              </w:rPr>
              <w:t>education</w:t>
            </w:r>
            <w:proofErr w:type="gramEnd"/>
          </w:p>
          <w:p w14:paraId="0246F7D7"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Special district governments</w:t>
            </w:r>
          </w:p>
          <w:p w14:paraId="779EB590"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Native American tribal governments (Federally recognized)</w:t>
            </w:r>
          </w:p>
          <w:p w14:paraId="1EA859F1"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City or township governments</w:t>
            </w:r>
          </w:p>
          <w:p w14:paraId="3B8F2A13"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Public housing authorities/Indian housing authorities</w:t>
            </w:r>
            <w:r>
              <w:rPr>
                <w:rFonts w:ascii="Times New Roman" w:eastAsia="Times New Roman" w:hAnsi="Times New Roman" w:cs="Times New Roman"/>
                <w:color w:val="1B1B1B"/>
                <w:sz w:val="24"/>
                <w:szCs w:val="24"/>
              </w:rPr>
              <w:br/>
              <w:t>Others (see text field entitled "Additional Information on Eligibility" for clarification)</w:t>
            </w:r>
          </w:p>
          <w:p w14:paraId="7E4DE53A" w14:textId="77777777" w:rsidR="00F62376" w:rsidRDefault="00F62376" w:rsidP="004C4700">
            <w:pPr>
              <w:pStyle w:val="ListParagraph"/>
              <w:numPr>
                <w:ilvl w:val="0"/>
                <w:numId w:val="1"/>
              </w:numPr>
              <w:spacing w:before="120" w:after="1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Public and State controlled institutions of higher education</w:t>
            </w:r>
            <w:r>
              <w:rPr>
                <w:rFonts w:ascii="Times New Roman" w:eastAsia="Times New Roman" w:hAnsi="Times New Roman" w:cs="Times New Roman"/>
                <w:color w:val="1B1B1B"/>
                <w:sz w:val="24"/>
                <w:szCs w:val="24"/>
              </w:rPr>
              <w:br/>
              <w:t>Private institutions of higher education</w:t>
            </w:r>
          </w:p>
          <w:p w14:paraId="0D5FE978" w14:textId="77777777" w:rsidR="00F62376" w:rsidRDefault="00F62376">
            <w:pPr>
              <w:spacing w:before="120" w:after="120"/>
              <w:ind w:left="14"/>
              <w:rPr>
                <w:rFonts w:ascii="Times New Roman" w:hAnsi="Times New Roman" w:cs="Times New Roman"/>
                <w:color w:val="1B1B1B"/>
                <w:sz w:val="24"/>
                <w:szCs w:val="24"/>
              </w:rPr>
            </w:pPr>
          </w:p>
          <w:p w14:paraId="338C5CC3" w14:textId="77777777" w:rsidR="00F62376" w:rsidRDefault="00F62376">
            <w:pPr>
              <w:ind w:left="15"/>
              <w:rPr>
                <w:rFonts w:ascii="Times New Roman" w:hAnsi="Times New Roman" w:cs="Times New Roman"/>
                <w:i/>
                <w:iCs/>
                <w:color w:val="1B1B1B"/>
                <w:sz w:val="24"/>
                <w:szCs w:val="24"/>
              </w:rPr>
            </w:pPr>
            <w:r>
              <w:rPr>
                <w:rFonts w:ascii="Times New Roman" w:hAnsi="Times New Roman" w:cs="Times New Roman"/>
                <w:i/>
                <w:iCs/>
                <w:color w:val="1B1B1B"/>
                <w:sz w:val="24"/>
                <w:szCs w:val="24"/>
              </w:rPr>
              <w:t xml:space="preserve">Additional Information on Eligibility:                                                           </w:t>
            </w:r>
          </w:p>
          <w:p w14:paraId="2ACF7936" w14:textId="77777777" w:rsidR="00F62376" w:rsidRDefault="00F62376">
            <w:pPr>
              <w:ind w:left="15"/>
              <w:rPr>
                <w:rFonts w:ascii="Times New Roman" w:hAnsi="Times New Roman" w:cs="Times New Roman"/>
                <w:color w:val="1B1B1B"/>
                <w:sz w:val="24"/>
                <w:szCs w:val="24"/>
              </w:rPr>
            </w:pPr>
            <w:r>
              <w:rPr>
                <w:rFonts w:ascii="Times New Roman" w:hAnsi="Times New Roman" w:cs="Times New Roman"/>
                <w:color w:val="1B1B1B"/>
                <w:sz w:val="24"/>
                <w:szCs w:val="24"/>
              </w:rPr>
              <w:t xml:space="preserve">Public and private non-profit organizations may apply for this funding opportunity. Applications from individuals (including sole proprietorships) and foreign entities are not eligible and will be disqualified from the merit review and funding under this funding opportunity. Faith-based and community organizations that meet the eligibility requirements are eligible to receive awards under this funding opportunity. Faith-based organizations may apply for this award on the same basis as any other organization, as set forth at and, subject to the protections and requirements of 45 CFR Part 87 and 42 U.S.C. 2000bb et seq., ACF will not, in the selection of recipients, discriminate against an organization </w:t>
            </w:r>
            <w:proofErr w:type="gramStart"/>
            <w:r>
              <w:rPr>
                <w:rFonts w:ascii="Times New Roman" w:hAnsi="Times New Roman" w:cs="Times New Roman"/>
                <w:color w:val="1B1B1B"/>
                <w:sz w:val="24"/>
                <w:szCs w:val="24"/>
              </w:rPr>
              <w:t>on the basis of</w:t>
            </w:r>
            <w:proofErr w:type="gramEnd"/>
            <w:r>
              <w:rPr>
                <w:rFonts w:ascii="Times New Roman" w:hAnsi="Times New Roman" w:cs="Times New Roman"/>
                <w:color w:val="1B1B1B"/>
                <w:sz w:val="24"/>
                <w:szCs w:val="24"/>
              </w:rPr>
              <w:t xml:space="preserve"> the organization's religious character, affiliation, or exercise.</w:t>
            </w:r>
            <w:bookmarkEnd w:id="0"/>
          </w:p>
          <w:p w14:paraId="7469D452" w14:textId="77777777" w:rsidR="00F62376" w:rsidRDefault="00F62376">
            <w:pPr>
              <w:rPr>
                <w:rFonts w:ascii="Times New Roman" w:hAnsi="Times New Roman" w:cs="Times New Roman"/>
                <w:sz w:val="24"/>
                <w:szCs w:val="24"/>
              </w:rPr>
            </w:pPr>
          </w:p>
          <w:p w14:paraId="1B03477A" w14:textId="77777777" w:rsidR="00F62376" w:rsidRDefault="00F62376">
            <w:pPr>
              <w:ind w:right="2304"/>
              <w:rPr>
                <w:rFonts w:ascii="Times New Roman" w:hAnsi="Times New Roman" w:cs="Times New Roman"/>
                <w:sz w:val="24"/>
                <w:szCs w:val="24"/>
              </w:rPr>
            </w:pPr>
          </w:p>
          <w:p w14:paraId="67D9C632" w14:textId="77777777" w:rsidR="00F62376" w:rsidRDefault="00F62376">
            <w:pPr>
              <w:ind w:right="2304"/>
              <w:rPr>
                <w:rFonts w:ascii="Times New Roman" w:hAnsi="Times New Roman" w:cs="Times New Roman"/>
                <w:color w:val="1B1B1B"/>
                <w:sz w:val="24"/>
                <w:szCs w:val="24"/>
                <w:shd w:val="clear" w:color="auto" w:fill="FFFFFF"/>
              </w:rPr>
            </w:pP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9552D1" w14:textId="77777777" w:rsidR="00F62376" w:rsidRDefault="00F62376">
            <w:pPr>
              <w:pStyle w:val="Default"/>
              <w:rPr>
                <w:rFonts w:ascii="Times New Roman" w:hAnsi="Times New Roman" w:cs="Times New Roman"/>
                <w:b/>
                <w:bCs/>
                <w:color w:val="162C3B"/>
              </w:rPr>
            </w:pPr>
            <w:bookmarkStart w:id="1" w:name="link2"/>
            <w:r>
              <w:rPr>
                <w:rFonts w:ascii="Times New Roman" w:hAnsi="Times New Roman" w:cs="Times New Roman"/>
                <w:b/>
                <w:bCs/>
                <w:color w:val="162C3B"/>
              </w:rPr>
              <w:t xml:space="preserve">Partnerships </w:t>
            </w:r>
          </w:p>
          <w:p w14:paraId="0396EFED" w14:textId="77777777" w:rsidR="00F62376" w:rsidRDefault="00F62376">
            <w:pPr>
              <w:pStyle w:val="Default"/>
              <w:rPr>
                <w:rFonts w:ascii="Times New Roman" w:hAnsi="Times New Roman" w:cs="Times New Roman"/>
                <w:color w:val="1B1B1B"/>
              </w:rPr>
            </w:pPr>
            <w:r>
              <w:rPr>
                <w:rFonts w:ascii="Times New Roman" w:hAnsi="Times New Roman" w:cs="Times New Roman"/>
                <w:color w:val="1B1B1B"/>
              </w:rPr>
              <w:t xml:space="preserve">RCP projects must be able to serve refugees in the following areas, either directly or through partnerships: </w:t>
            </w:r>
          </w:p>
          <w:p w14:paraId="507EFBF6" w14:textId="77777777" w:rsidR="00F62376" w:rsidRDefault="00F62376" w:rsidP="004C4700">
            <w:pPr>
              <w:pStyle w:val="Default"/>
              <w:numPr>
                <w:ilvl w:val="0"/>
                <w:numId w:val="2"/>
              </w:numPr>
              <w:spacing w:after="97"/>
              <w:ind w:left="288"/>
              <w:rPr>
                <w:rFonts w:ascii="Times New Roman" w:hAnsi="Times New Roman" w:cs="Times New Roman"/>
                <w:color w:val="1B1B1B"/>
              </w:rPr>
            </w:pPr>
            <w:r>
              <w:rPr>
                <w:rFonts w:ascii="Times New Roman" w:hAnsi="Times New Roman" w:cs="Times New Roman"/>
                <w:color w:val="1B1B1B"/>
              </w:rPr>
              <w:t>Job skills training.</w:t>
            </w:r>
          </w:p>
          <w:p w14:paraId="3294F44B" w14:textId="77777777" w:rsidR="00F62376" w:rsidRDefault="00F62376" w:rsidP="004C4700">
            <w:pPr>
              <w:pStyle w:val="Default"/>
              <w:numPr>
                <w:ilvl w:val="0"/>
                <w:numId w:val="2"/>
              </w:numPr>
              <w:spacing w:after="97"/>
              <w:ind w:left="288"/>
              <w:rPr>
                <w:rFonts w:ascii="Times New Roman" w:hAnsi="Times New Roman" w:cs="Times New Roman"/>
                <w:color w:val="1B1B1B"/>
              </w:rPr>
            </w:pPr>
            <w:r>
              <w:rPr>
                <w:rFonts w:ascii="Times New Roman" w:hAnsi="Times New Roman" w:cs="Times New Roman"/>
                <w:color w:val="1B1B1B"/>
              </w:rPr>
              <w:t>Vocational English-language training.</w:t>
            </w:r>
          </w:p>
          <w:p w14:paraId="176CB89E" w14:textId="77777777" w:rsidR="00F62376" w:rsidRDefault="00F62376" w:rsidP="004C4700">
            <w:pPr>
              <w:pStyle w:val="Default"/>
              <w:numPr>
                <w:ilvl w:val="0"/>
                <w:numId w:val="2"/>
              </w:numPr>
              <w:spacing w:after="97"/>
              <w:ind w:left="288"/>
              <w:rPr>
                <w:rFonts w:ascii="Times New Roman" w:hAnsi="Times New Roman" w:cs="Times New Roman"/>
                <w:color w:val="1B1B1B"/>
              </w:rPr>
            </w:pPr>
            <w:r>
              <w:rPr>
                <w:rFonts w:ascii="Times New Roman" w:hAnsi="Times New Roman" w:cs="Times New Roman"/>
                <w:color w:val="1B1B1B"/>
              </w:rPr>
              <w:t>Career mentorship.</w:t>
            </w:r>
          </w:p>
          <w:p w14:paraId="40F330EF" w14:textId="77777777" w:rsidR="00F62376" w:rsidRDefault="00F62376" w:rsidP="004C4700">
            <w:pPr>
              <w:pStyle w:val="Default"/>
              <w:numPr>
                <w:ilvl w:val="0"/>
                <w:numId w:val="2"/>
              </w:numPr>
              <w:ind w:left="288"/>
              <w:rPr>
                <w:rFonts w:ascii="Times New Roman" w:hAnsi="Times New Roman" w:cs="Times New Roman"/>
                <w:color w:val="1B1B1B"/>
              </w:rPr>
            </w:pPr>
            <w:r>
              <w:rPr>
                <w:rFonts w:ascii="Times New Roman" w:hAnsi="Times New Roman" w:cs="Times New Roman"/>
                <w:color w:val="1B1B1B"/>
              </w:rPr>
              <w:t>Assisting in career entry, such as through apprenticeships or on-the-job training.</w:t>
            </w:r>
          </w:p>
          <w:p w14:paraId="4CA908C1" w14:textId="77777777" w:rsidR="00F62376" w:rsidRDefault="00F62376">
            <w:pPr>
              <w:pStyle w:val="Default"/>
              <w:rPr>
                <w:rFonts w:ascii="Times New Roman" w:hAnsi="Times New Roman" w:cs="Times New Roman"/>
                <w:color w:val="1B1B1B"/>
              </w:rPr>
            </w:pPr>
          </w:p>
          <w:p w14:paraId="0BC1BC58" w14:textId="77777777" w:rsidR="00F62376" w:rsidRDefault="00F62376">
            <w:pPr>
              <w:autoSpaceDE w:val="0"/>
              <w:autoSpaceDN w:val="0"/>
              <w:rPr>
                <w:rFonts w:ascii="Times New Roman" w:hAnsi="Times New Roman" w:cs="Times New Roman"/>
                <w:b/>
                <w:bCs/>
                <w:color w:val="254963"/>
                <w:sz w:val="24"/>
                <w:szCs w:val="24"/>
              </w:rPr>
            </w:pPr>
            <w:r>
              <w:rPr>
                <w:rFonts w:ascii="Times New Roman" w:hAnsi="Times New Roman" w:cs="Times New Roman"/>
                <w:b/>
                <w:bCs/>
                <w:color w:val="254963"/>
                <w:sz w:val="24"/>
                <w:szCs w:val="24"/>
              </w:rPr>
              <w:t xml:space="preserve">Data reporting requirements </w:t>
            </w:r>
          </w:p>
          <w:p w14:paraId="2263227C" w14:textId="77777777" w:rsidR="00F62376" w:rsidRDefault="00F62376">
            <w:pPr>
              <w:autoSpaceDE w:val="0"/>
              <w:autoSpaceDN w:val="0"/>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Recipients will be required to report on the following data points semiannually: </w:t>
            </w:r>
          </w:p>
          <w:p w14:paraId="502EB075"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newly enrolled in the program. </w:t>
            </w:r>
          </w:p>
          <w:p w14:paraId="2A34684C"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currently enrolled in the program. </w:t>
            </w:r>
          </w:p>
          <w:p w14:paraId="379205C0"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Average income of enrolled participants. </w:t>
            </w:r>
          </w:p>
          <w:p w14:paraId="77F35DEE"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developing personalized career plans. </w:t>
            </w:r>
          </w:p>
          <w:p w14:paraId="4E6762BB"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enrolling in degree or certification programs. </w:t>
            </w:r>
          </w:p>
          <w:p w14:paraId="6F436FBB"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enrolling in apprenticeship or on-the-job training programs. </w:t>
            </w:r>
          </w:p>
          <w:p w14:paraId="092243EF"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earning college credits. </w:t>
            </w:r>
          </w:p>
          <w:p w14:paraId="0294E9FD"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who obtained a new credential or recognition of an existing credential. </w:t>
            </w:r>
          </w:p>
          <w:p w14:paraId="25E1514C"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participants obtaining employment in a professional or skilled career field. </w:t>
            </w:r>
          </w:p>
          <w:p w14:paraId="4FF8A7E7"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training hours the program provided to participants in English-language programs to prepare for a particular vocation or job-related training program. </w:t>
            </w:r>
          </w:p>
          <w:p w14:paraId="114E2ADA" w14:textId="77777777" w:rsidR="00F62376" w:rsidRDefault="00F62376" w:rsidP="004C4700">
            <w:pPr>
              <w:numPr>
                <w:ilvl w:val="0"/>
                <w:numId w:val="3"/>
              </w:numPr>
              <w:autoSpaceDE w:val="0"/>
              <w:autoSpaceDN w:val="0"/>
              <w:spacing w:after="97"/>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Number of training hours the program provided to participants in developing job readiness skills such as resume writing, interviewing, and expectations for the professional workplace. </w:t>
            </w:r>
          </w:p>
          <w:p w14:paraId="7ECEB02D" w14:textId="77777777" w:rsidR="00F62376" w:rsidRDefault="00F62376" w:rsidP="004C4700">
            <w:pPr>
              <w:numPr>
                <w:ilvl w:val="0"/>
                <w:numId w:val="3"/>
              </w:numPr>
              <w:autoSpaceDE w:val="0"/>
              <w:autoSpaceDN w:val="0"/>
              <w:ind w:left="288"/>
              <w:rPr>
                <w:rFonts w:ascii="Times New Roman" w:hAnsi="Times New Roman" w:cs="Times New Roman"/>
                <w:color w:val="1B1B1B"/>
                <w:sz w:val="24"/>
                <w:szCs w:val="24"/>
              </w:rPr>
            </w:pPr>
            <w:r>
              <w:rPr>
                <w:rFonts w:ascii="Times New Roman" w:hAnsi="Times New Roman" w:cs="Times New Roman"/>
                <w:color w:val="1B1B1B"/>
                <w:sz w:val="24"/>
                <w:szCs w:val="24"/>
              </w:rPr>
              <w:t xml:space="preserve">Average income of participants who obtained employment. </w:t>
            </w:r>
            <w:bookmarkEnd w:id="1"/>
          </w:p>
          <w:p w14:paraId="5A49BD62" w14:textId="77777777" w:rsidR="00F62376" w:rsidRDefault="00F62376">
            <w:pPr>
              <w:pStyle w:val="Default"/>
              <w:rPr>
                <w:rFonts w:ascii="Times New Roman" w:hAnsi="Times New Roman" w:cs="Times New Roman"/>
                <w:color w:val="1B1B1B"/>
              </w:rPr>
            </w:pPr>
          </w:p>
          <w:p w14:paraId="59F34F5D" w14:textId="77777777" w:rsidR="00F62376" w:rsidRDefault="00F62376">
            <w:pPr>
              <w:pStyle w:val="Default"/>
              <w:rPr>
                <w:rFonts w:ascii="Times New Roman" w:hAnsi="Times New Roman" w:cs="Times New Roman"/>
                <w:color w:val="1B1B1B"/>
              </w:rPr>
            </w:pPr>
          </w:p>
          <w:p w14:paraId="663878CD" w14:textId="77777777" w:rsidR="00F62376" w:rsidRDefault="00F62376">
            <w:pPr>
              <w:ind w:right="2304"/>
              <w:rPr>
                <w:rFonts w:ascii="Times New Roman" w:hAnsi="Times New Roman" w:cs="Times New Roman"/>
                <w:color w:val="1B1B1B"/>
                <w:sz w:val="24"/>
                <w:szCs w:val="24"/>
                <w:shd w:val="clear" w:color="auto" w:fill="FFFFFF"/>
              </w:rPr>
            </w:pPr>
          </w:p>
        </w:tc>
      </w:tr>
    </w:tbl>
    <w:p w14:paraId="6F896E13" w14:textId="77777777" w:rsidR="00F62376" w:rsidRDefault="00F62376" w:rsidP="00F62376">
      <w:pPr>
        <w:rPr>
          <w:rFonts w:ascii="Times New Roman" w:hAnsi="Times New Roman" w:cs="Times New Roman"/>
          <w:color w:val="1B1B1B"/>
          <w:sz w:val="24"/>
          <w:szCs w:val="24"/>
          <w:shd w:val="clear" w:color="auto" w:fill="FFFFFF"/>
        </w:rPr>
      </w:pPr>
    </w:p>
    <w:p w14:paraId="4EC341A9" w14:textId="77777777" w:rsidR="00AC5F08" w:rsidRDefault="00AC5F08"/>
    <w:sectPr w:rsidR="00AC5F08" w:rsidSect="00F62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012B2"/>
    <w:multiLevelType w:val="hybridMultilevel"/>
    <w:tmpl w:val="5241F82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1103596"/>
    <w:multiLevelType w:val="hybridMultilevel"/>
    <w:tmpl w:val="FF7CF1D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2" w15:restartNumberingAfterBreak="0">
    <w:nsid w:val="39B1766D"/>
    <w:multiLevelType w:val="hybridMultilevel"/>
    <w:tmpl w:val="120A551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2051571688">
    <w:abstractNumId w:val="1"/>
    <w:lvlOverride w:ilvl="0"/>
    <w:lvlOverride w:ilvl="1"/>
    <w:lvlOverride w:ilvl="2"/>
    <w:lvlOverride w:ilvl="3"/>
    <w:lvlOverride w:ilvl="4"/>
    <w:lvlOverride w:ilvl="5"/>
    <w:lvlOverride w:ilvl="6"/>
    <w:lvlOverride w:ilvl="7"/>
    <w:lvlOverride w:ilvl="8"/>
  </w:num>
  <w:num w:numId="2" w16cid:durableId="95910397">
    <w:abstractNumId w:val="2"/>
    <w:lvlOverride w:ilvl="0"/>
    <w:lvlOverride w:ilvl="1"/>
    <w:lvlOverride w:ilvl="2"/>
    <w:lvlOverride w:ilvl="3"/>
    <w:lvlOverride w:ilvl="4"/>
    <w:lvlOverride w:ilvl="5"/>
    <w:lvlOverride w:ilvl="6"/>
    <w:lvlOverride w:ilvl="7"/>
    <w:lvlOverride w:ilvl="8"/>
  </w:num>
  <w:num w:numId="3" w16cid:durableId="12755983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76"/>
    <w:rsid w:val="00AC5F08"/>
    <w:rsid w:val="00AD7E6E"/>
    <w:rsid w:val="00D677B2"/>
    <w:rsid w:val="00F6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483C"/>
  <w15:chartTrackingRefBased/>
  <w15:docId w15:val="{D4C3402D-BD24-4FF6-9614-31F0A71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7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376"/>
    <w:rPr>
      <w:color w:val="0563C1"/>
      <w:u w:val="single"/>
    </w:rPr>
  </w:style>
  <w:style w:type="paragraph" w:styleId="ListParagraph">
    <w:name w:val="List Paragraph"/>
    <w:basedOn w:val="Normal"/>
    <w:uiPriority w:val="34"/>
    <w:qFormat/>
    <w:rsid w:val="00F62376"/>
    <w:pPr>
      <w:ind w:left="720"/>
    </w:pPr>
  </w:style>
  <w:style w:type="paragraph" w:customStyle="1" w:styleId="Default">
    <w:name w:val="Default"/>
    <w:basedOn w:val="Normal"/>
    <w:rsid w:val="00F62376"/>
    <w:pPr>
      <w:autoSpaceDE w:val="0"/>
      <w:autoSpaceDN w:val="0"/>
    </w:pPr>
    <w:rPr>
      <w:rFonts w:ascii="Merriweather" w:hAnsi="Merriweath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www.grants.gov%2Fsearch-results-detail%2F349715&amp;data=05%7C02%7Cmahalia.baldini%40twc.texas.gov%7C023eb504be5f4f14dfe108dc65727cb2%7Cfe7d3f4f241b4af184aa32c57fe9db03%7C0%7C0%7C638496789598174164%7CUnknown%7CTWFpbGZsb3d8eyJWIjoiMC4wLjAwMDAiLCJQIjoiV2luMzIiLCJBTiI6Ik1haWwiLCJXVCI6Mn0%3D%7C0%7C%7C%7C&amp;sdata=dQknPQMAAmXhbyY%2BmgPP73PmnOlcLHbDknEQQmq1Ga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Baldini,Mahalia C</dc:creator>
  <cp:keywords/>
  <dc:description/>
  <cp:lastModifiedBy>Baldini,Mahalia C</cp:lastModifiedBy>
  <cp:revision>1</cp:revision>
  <dcterms:created xsi:type="dcterms:W3CDTF">2024-05-01T16:31:00Z</dcterms:created>
  <dcterms:modified xsi:type="dcterms:W3CDTF">2024-05-01T16:32:00Z</dcterms:modified>
</cp:coreProperties>
</file>