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600" w:firstRow="0" w:lastRow="0" w:firstColumn="0" w:lastColumn="0" w:noHBand="1" w:noVBand="1"/>
      </w:tblPr>
      <w:tblGrid>
        <w:gridCol w:w="5395"/>
        <w:gridCol w:w="5395"/>
      </w:tblGrid>
      <w:tr w:rsidR="00A81248" w:rsidRPr="003A798E" w14:paraId="54946FFA" w14:textId="77777777" w:rsidTr="00FB65B8">
        <w:tc>
          <w:tcPr>
            <w:tcW w:w="5395" w:type="dxa"/>
          </w:tcPr>
          <w:p w14:paraId="4D31B1E5" w14:textId="77777777" w:rsidR="00A81248" w:rsidRPr="003A798E" w:rsidRDefault="00A81248" w:rsidP="00A81248">
            <w:pPr>
              <w:pStyle w:val="GraphicAnchor"/>
            </w:pPr>
          </w:p>
        </w:tc>
        <w:tc>
          <w:tcPr>
            <w:tcW w:w="5395" w:type="dxa"/>
          </w:tcPr>
          <w:p w14:paraId="06826CCC" w14:textId="77777777" w:rsidR="00A81248" w:rsidRPr="003A798E" w:rsidRDefault="00A81248" w:rsidP="00A81248">
            <w:pPr>
              <w:pStyle w:val="GraphicAnchor"/>
            </w:pPr>
          </w:p>
        </w:tc>
      </w:tr>
      <w:tr w:rsidR="00A81248" w:rsidRPr="003A798E" w14:paraId="51E553E1" w14:textId="77777777" w:rsidTr="00FB65B8">
        <w:trPr>
          <w:trHeight w:val="2719"/>
        </w:trPr>
        <w:tc>
          <w:tcPr>
            <w:tcW w:w="5395" w:type="dxa"/>
          </w:tcPr>
          <w:p w14:paraId="5D98A78E" w14:textId="00F7FF0D" w:rsidR="008E5B5A" w:rsidRPr="008E5B5A" w:rsidRDefault="008E5B5A" w:rsidP="008E5B5A">
            <w:pPr>
              <w:pStyle w:val="Heading1"/>
            </w:pPr>
            <w:r>
              <w:t>PY 23</w:t>
            </w:r>
            <w:r w:rsidR="00E26B0D">
              <w:t>-24</w:t>
            </w:r>
            <w:r>
              <w:t xml:space="preserve"> </w:t>
            </w:r>
            <w:r>
              <w:br/>
            </w:r>
            <w:r w:rsidRPr="008E5B5A">
              <w:rPr>
                <w:sz w:val="56"/>
                <w:szCs w:val="24"/>
              </w:rPr>
              <w:t>AEL Target</w:t>
            </w:r>
            <w:r>
              <w:rPr>
                <w:sz w:val="56"/>
                <w:szCs w:val="24"/>
              </w:rPr>
              <w:t>s</w:t>
            </w:r>
          </w:p>
        </w:tc>
        <w:tc>
          <w:tcPr>
            <w:tcW w:w="5395" w:type="dxa"/>
          </w:tcPr>
          <w:p w14:paraId="4460D557" w14:textId="3E491E51" w:rsidR="00A81248" w:rsidRPr="003A798E" w:rsidRDefault="00334E3D">
            <w:r>
              <w:rPr>
                <w:noProof/>
              </w:rPr>
              <w:drawing>
                <wp:anchor distT="0" distB="0" distL="114300" distR="114300" simplePos="0" relativeHeight="251662336" behindDoc="0" locked="0" layoutInCell="1" allowOverlap="1" wp14:anchorId="6FA74E1B" wp14:editId="76B0CBC5">
                  <wp:simplePos x="0" y="0"/>
                  <wp:positionH relativeFrom="column">
                    <wp:posOffset>1617345</wp:posOffset>
                  </wp:positionH>
                  <wp:positionV relativeFrom="paragraph">
                    <wp:posOffset>-72390</wp:posOffset>
                  </wp:positionV>
                  <wp:extent cx="1574165" cy="1574165"/>
                  <wp:effectExtent l="0" t="0" r="0" b="0"/>
                  <wp:wrapNone/>
                  <wp:docPr id="11" name="Picture 11" descr="Logo for the Texas Workforce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for the Texas Workforce Commission"/>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4165" cy="1574165"/>
                          </a:xfrm>
                          <a:prstGeom prst="rect">
                            <a:avLst/>
                          </a:prstGeom>
                        </pic:spPr>
                      </pic:pic>
                    </a:graphicData>
                  </a:graphic>
                  <wp14:sizeRelH relativeFrom="margin">
                    <wp14:pctWidth>0</wp14:pctWidth>
                  </wp14:sizeRelH>
                  <wp14:sizeRelV relativeFrom="margin">
                    <wp14:pctHeight>0</wp14:pctHeight>
                  </wp14:sizeRelV>
                </wp:anchor>
              </w:drawing>
            </w:r>
          </w:p>
        </w:tc>
      </w:tr>
      <w:tr w:rsidR="00A81248" w:rsidRPr="003A798E" w14:paraId="767F2B98" w14:textId="77777777" w:rsidTr="00FB65B8">
        <w:trPr>
          <w:trHeight w:val="8059"/>
        </w:trPr>
        <w:tc>
          <w:tcPr>
            <w:tcW w:w="5395" w:type="dxa"/>
          </w:tcPr>
          <w:p w14:paraId="65CFC071" w14:textId="07E9AB93" w:rsidR="00A81248" w:rsidRPr="003A798E" w:rsidRDefault="00037EA6">
            <w:r>
              <w:rPr>
                <w:noProof/>
                <w:lang w:eastAsia="en-AU"/>
              </w:rPr>
              <w:drawing>
                <wp:anchor distT="0" distB="0" distL="114300" distR="114300" simplePos="0" relativeHeight="251663360" behindDoc="0" locked="0" layoutInCell="1" allowOverlap="1" wp14:anchorId="223AAA44" wp14:editId="4C316E9D">
                  <wp:simplePos x="0" y="0"/>
                  <wp:positionH relativeFrom="margin">
                    <wp:posOffset>90170</wp:posOffset>
                  </wp:positionH>
                  <wp:positionV relativeFrom="paragraph">
                    <wp:posOffset>2248535</wp:posOffset>
                  </wp:positionV>
                  <wp:extent cx="2263584" cy="3171097"/>
                  <wp:effectExtent l="0" t="0" r="3810" b="0"/>
                  <wp:wrapNone/>
                  <wp:docPr id="12" name="Picture 12" descr="Logo for A&amp;E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for A&amp;E Depart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584" cy="3171097"/>
                          </a:xfrm>
                          <a:prstGeom prst="rect">
                            <a:avLst/>
                          </a:prstGeom>
                        </pic:spPr>
                      </pic:pic>
                    </a:graphicData>
                  </a:graphic>
                  <wp14:sizeRelH relativeFrom="page">
                    <wp14:pctWidth>0</wp14:pctWidth>
                  </wp14:sizeRelH>
                  <wp14:sizeRelV relativeFrom="page">
                    <wp14:pctHeight>0</wp14:pctHeight>
                  </wp14:sizeRelV>
                </wp:anchor>
              </w:drawing>
            </w:r>
          </w:p>
        </w:tc>
        <w:tc>
          <w:tcPr>
            <w:tcW w:w="5395" w:type="dxa"/>
          </w:tcPr>
          <w:p w14:paraId="6E16A9DB" w14:textId="20B7EDAB" w:rsidR="00A81248" w:rsidRPr="003A798E" w:rsidRDefault="00A81248"/>
        </w:tc>
      </w:tr>
      <w:tr w:rsidR="00A81248" w:rsidRPr="003A798E" w14:paraId="285A2937" w14:textId="77777777" w:rsidTr="00FB65B8">
        <w:trPr>
          <w:trHeight w:val="1299"/>
        </w:trPr>
        <w:tc>
          <w:tcPr>
            <w:tcW w:w="5395" w:type="dxa"/>
          </w:tcPr>
          <w:p w14:paraId="07B85BEF" w14:textId="77777777" w:rsidR="00A81248" w:rsidRPr="003A798E" w:rsidRDefault="00A81248"/>
        </w:tc>
        <w:tc>
          <w:tcPr>
            <w:tcW w:w="5395" w:type="dxa"/>
          </w:tcPr>
          <w:p w14:paraId="46ABA116" w14:textId="03711E41" w:rsidR="00A81248" w:rsidRPr="003A798E" w:rsidRDefault="005708B3" w:rsidP="00A81248">
            <w:pPr>
              <w:pStyle w:val="Heading2"/>
            </w:pPr>
            <w:r>
              <w:t xml:space="preserve">AEL </w:t>
            </w:r>
            <w:r w:rsidR="008E5B5A">
              <w:t>Negotiations</w:t>
            </w:r>
          </w:p>
          <w:p w14:paraId="414FAAD9" w14:textId="3348860F" w:rsidR="00A81248" w:rsidRPr="003A798E" w:rsidRDefault="00647C2D" w:rsidP="00C66528">
            <w:pPr>
              <w:pStyle w:val="Heading2"/>
            </w:pPr>
            <w:r>
              <w:t xml:space="preserve">Instructional </w:t>
            </w:r>
            <w:r w:rsidR="008E5B5A">
              <w:t>Guide</w:t>
            </w:r>
          </w:p>
        </w:tc>
      </w:tr>
      <w:tr w:rsidR="00A81248" w:rsidRPr="003A798E" w14:paraId="542E172F" w14:textId="77777777" w:rsidTr="00FB65B8">
        <w:trPr>
          <w:trHeight w:val="1402"/>
        </w:trPr>
        <w:tc>
          <w:tcPr>
            <w:tcW w:w="5395" w:type="dxa"/>
          </w:tcPr>
          <w:p w14:paraId="25EBE96A" w14:textId="77777777" w:rsidR="00A81248" w:rsidRPr="003A798E" w:rsidRDefault="00A81248"/>
        </w:tc>
        <w:tc>
          <w:tcPr>
            <w:tcW w:w="5395" w:type="dxa"/>
          </w:tcPr>
          <w:p w14:paraId="66665774" w14:textId="5D367E95" w:rsidR="00A81248" w:rsidRPr="008E5B5A" w:rsidRDefault="008E5B5A" w:rsidP="00A81248">
            <w:pPr>
              <w:pStyle w:val="Heading2"/>
              <w:rPr>
                <w:b/>
                <w:bCs/>
                <w:i w:val="0"/>
                <w:iCs/>
                <w:u w:val="single"/>
              </w:rPr>
            </w:pPr>
            <w:r w:rsidRPr="008E5B5A">
              <w:rPr>
                <w:b/>
                <w:bCs/>
                <w:i w:val="0"/>
                <w:iCs/>
                <w:u w:val="single"/>
              </w:rPr>
              <w:t>I|3 Division</w:t>
            </w:r>
            <w:r w:rsidR="00C66528" w:rsidRPr="008E5B5A">
              <w:rPr>
                <w:b/>
                <w:bCs/>
                <w:i w:val="0"/>
                <w:iCs/>
                <w:u w:val="single"/>
              </w:rPr>
              <w:t xml:space="preserve"> </w:t>
            </w:r>
          </w:p>
          <w:p w14:paraId="7F35F612" w14:textId="0EA2FB9D" w:rsidR="00A81248" w:rsidRPr="003A798E" w:rsidRDefault="008E5B5A" w:rsidP="00A81248">
            <w:pPr>
              <w:pStyle w:val="Heading2"/>
            </w:pPr>
            <w:r w:rsidRPr="00EB22A8">
              <w:rPr>
                <w:sz w:val="32"/>
                <w:szCs w:val="20"/>
              </w:rPr>
              <w:t>Department of Analytics &amp;</w:t>
            </w:r>
            <w:r w:rsidR="00DE3E76">
              <w:rPr>
                <w:sz w:val="32"/>
                <w:szCs w:val="20"/>
              </w:rPr>
              <w:t xml:space="preserve"> </w:t>
            </w:r>
            <w:r w:rsidRPr="00EB22A8">
              <w:rPr>
                <w:sz w:val="32"/>
                <w:szCs w:val="20"/>
              </w:rPr>
              <w:t>Evaluation</w:t>
            </w:r>
          </w:p>
        </w:tc>
      </w:tr>
    </w:tbl>
    <w:p w14:paraId="073C4FA7" w14:textId="2718130A" w:rsidR="000C4ED1" w:rsidRPr="003A798E" w:rsidRDefault="006F508F">
      <w:r w:rsidRPr="003A798E">
        <w:rPr>
          <w:noProof/>
          <w:lang w:eastAsia="en-AU"/>
        </w:rPr>
        <mc:AlternateContent>
          <mc:Choice Requires="wpg">
            <w:drawing>
              <wp:anchor distT="0" distB="0" distL="114300" distR="114300" simplePos="0" relativeHeight="251659264" behindDoc="1" locked="0" layoutInCell="1" allowOverlap="1" wp14:anchorId="15F2B9CE" wp14:editId="1BCEE01E">
                <wp:simplePos x="0" y="0"/>
                <wp:positionH relativeFrom="margin">
                  <wp:posOffset>-460375</wp:posOffset>
                </wp:positionH>
                <wp:positionV relativeFrom="page">
                  <wp:posOffset>13970</wp:posOffset>
                </wp:positionV>
                <wp:extent cx="7772400" cy="10054800"/>
                <wp:effectExtent l="0" t="0" r="0" b="3810"/>
                <wp:wrapNone/>
                <wp:docPr id="2" name="Group 1">
                  <a:extLst xmlns:a="http://schemas.openxmlformats.org/drawingml/2006/main">
                    <a:ext uri="{FF2B5EF4-FFF2-40B4-BE49-F238E27FC236}">
                      <a16:creationId xmlns:a16="http://schemas.microsoft.com/office/drawing/2014/main" id="{405C8564-9AA1-3741-A518-06A1556F88BC}"/>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4800"/>
                          <a:chOff x="0" y="0"/>
                          <a:chExt cx="7771132" cy="10053322"/>
                        </a:xfrm>
                      </wpg:grpSpPr>
                      <wps:wsp>
                        <wps:cNvPr id="3" name="Shape"/>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chemeClr val="bg1">
                              <a:lumMod val="85000"/>
                            </a:schemeClr>
                          </a:solidFill>
                          <a:ln w="12700">
                            <a:miter lim="400000"/>
                          </a:ln>
                        </wps:spPr>
                        <wps:bodyPr lIns="38100" tIns="38100" rIns="38100" bIns="38100" anchor="ctr"/>
                      </wps:wsp>
                      <wps:wsp>
                        <wps:cNvPr id="4" name="Triangle"/>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chemeClr val="accent2"/>
                          </a:solidFill>
                          <a:ln w="12700">
                            <a:miter lim="400000"/>
                          </a:ln>
                        </wps:spPr>
                        <wps:bodyPr lIns="38100" tIns="38100" rIns="38100" bIns="38100" anchor="ctr"/>
                      </wps:wsp>
                      <wps:wsp>
                        <wps:cNvPr id="5" name="Shape"/>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64DB721C" id="Group 1" o:spid="_x0000_s1026" alt="&quot;&quot;" style="position:absolute;margin-left:-36.25pt;margin-top:1.1pt;width:612pt;height:791.7pt;z-index:-251657216;mso-position-horizontal-relative:margin;mso-position-vertical-relative:page;mso-width-relative:margin;mso-height-relative:margin" coordsize="77711,10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">
                <v:shape id="Shape" o:spid="_x0000_s1027" style="position:absolute;top:25527;width:5845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" path="m,10687l,21600r1769,l21600,6148,13712,,,10687xe" fillcolor="#d8d8d8 [2732]" stroked="f" strokeweight="1pt">
                  <v:stroke miterlimit="4" joinstyle="miter"/>
                  <v:path arrowok="t" o:extrusionok="f" o:connecttype="custom" o:connectlocs="2922906,3750311;2922906,3750311;2922906,3750311;2922906,3750311" o:connectangles="0,90,180,270"/>
                </v:shape>
                <v:shape id="Triangle" o:spid="_x0000_s1028"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" path="m,21600l21600,10802,,,,21600xe" fillcolor="#00c1c7 [3205]" stroked="f" strokeweight="1pt">
                  <v:stroke miterlimit="4" joinstyle="miter"/>
                  <v:path arrowok="t" o:extrusionok="f" o:connecttype="custom" o:connectlocs="1953896,3908426;1953896,3908426;1953896,3908426;1953896,3908426" o:connectangles="0,90,180,270"/>
                </v:shape>
                <v:shape id="Shape" o:spid="_x0000_s1029"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" path="m,14678r,6922l21600,3032,21600,,17075,,,14678xe" fillcolor="#123869 [3204]"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p>
    <w:tbl>
      <w:tblPr>
        <w:tblW w:w="10666" w:type="dxa"/>
        <w:shd w:val="clear" w:color="auto" w:fill="EDF0F4" w:themeFill="accent3"/>
        <w:tblLayout w:type="fixed"/>
        <w:tblCellMar>
          <w:left w:w="0" w:type="dxa"/>
          <w:right w:w="0" w:type="dxa"/>
        </w:tblCellMar>
        <w:tblLook w:val="0600" w:firstRow="0" w:lastRow="0" w:firstColumn="0" w:lastColumn="0" w:noHBand="1" w:noVBand="1"/>
      </w:tblPr>
      <w:tblGrid>
        <w:gridCol w:w="421"/>
        <w:gridCol w:w="4912"/>
        <w:gridCol w:w="4912"/>
        <w:gridCol w:w="421"/>
      </w:tblGrid>
      <w:tr w:rsidR="001205A1" w:rsidRPr="003A798E" w14:paraId="0E01DAFE" w14:textId="77777777" w:rsidTr="00A24793">
        <w:trPr>
          <w:trHeight w:val="441"/>
        </w:trPr>
        <w:tc>
          <w:tcPr>
            <w:tcW w:w="421" w:type="dxa"/>
            <w:shd w:val="clear" w:color="auto" w:fill="EDF0F4" w:themeFill="accent3"/>
          </w:tcPr>
          <w:p w14:paraId="2FC86A86" w14:textId="77777777" w:rsidR="00A81248" w:rsidRPr="003A798E" w:rsidRDefault="00A81248"/>
        </w:tc>
        <w:tc>
          <w:tcPr>
            <w:tcW w:w="4912" w:type="dxa"/>
            <w:shd w:val="clear" w:color="auto" w:fill="EDF0F4" w:themeFill="accent3"/>
          </w:tcPr>
          <w:p w14:paraId="36AB5AA4" w14:textId="77777777" w:rsidR="00A81248" w:rsidRPr="003A798E" w:rsidRDefault="00A81248"/>
        </w:tc>
        <w:tc>
          <w:tcPr>
            <w:tcW w:w="4912" w:type="dxa"/>
            <w:shd w:val="clear" w:color="auto" w:fill="EDF0F4" w:themeFill="accent3"/>
          </w:tcPr>
          <w:p w14:paraId="66C115C0" w14:textId="77777777" w:rsidR="00A81248" w:rsidRPr="003A798E" w:rsidRDefault="00A81248"/>
        </w:tc>
        <w:tc>
          <w:tcPr>
            <w:tcW w:w="421" w:type="dxa"/>
            <w:shd w:val="clear" w:color="auto" w:fill="EDF0F4" w:themeFill="accent3"/>
          </w:tcPr>
          <w:p w14:paraId="186C4E3B" w14:textId="77777777" w:rsidR="00A81248" w:rsidRPr="003A798E" w:rsidRDefault="00A81248"/>
        </w:tc>
      </w:tr>
      <w:tr w:rsidR="001205A1" w:rsidRPr="003A798E" w14:paraId="47206ABE" w14:textId="77777777" w:rsidTr="00A24793">
        <w:trPr>
          <w:trHeight w:val="4599"/>
        </w:trPr>
        <w:tc>
          <w:tcPr>
            <w:tcW w:w="421" w:type="dxa"/>
            <w:shd w:val="clear" w:color="auto" w:fill="EDF0F4" w:themeFill="accent3"/>
          </w:tcPr>
          <w:p w14:paraId="783B0688" w14:textId="77777777" w:rsidR="001205A1" w:rsidRPr="003A798E" w:rsidRDefault="001205A1"/>
        </w:tc>
        <w:tc>
          <w:tcPr>
            <w:tcW w:w="9824" w:type="dxa"/>
            <w:gridSpan w:val="2"/>
            <w:shd w:val="clear" w:color="auto" w:fill="EDF0F4" w:themeFill="accent3"/>
          </w:tcPr>
          <w:p w14:paraId="0B767B75" w14:textId="402ADD93" w:rsidR="001205A1" w:rsidRPr="003A798E" w:rsidRDefault="002E0E9C" w:rsidP="001205A1">
            <w:pPr>
              <w:pStyle w:val="Heading3"/>
            </w:pPr>
            <w:r>
              <w:t xml:space="preserve">TARGET </w:t>
            </w:r>
            <w:r w:rsidR="00611EF4">
              <w:t xml:space="preserve">POPULATIONS </w:t>
            </w:r>
          </w:p>
          <w:p w14:paraId="5B6AE848" w14:textId="77777777" w:rsidR="001205A1" w:rsidRPr="003A798E" w:rsidRDefault="001205A1" w:rsidP="001205A1">
            <w:pPr>
              <w:pStyle w:val="Heading4"/>
            </w:pPr>
          </w:p>
          <w:p w14:paraId="3FEE6BFD" w14:textId="37F5E188" w:rsidR="00002604" w:rsidRPr="000E10B4" w:rsidRDefault="00D208E5" w:rsidP="000D5248">
            <w:pPr>
              <w:pStyle w:val="Heading4"/>
              <w:rPr>
                <w:i w:val="0"/>
                <w:iCs w:val="0"/>
              </w:rPr>
            </w:pPr>
            <w:r w:rsidRPr="000E10B4">
              <w:rPr>
                <w:i w:val="0"/>
                <w:iCs w:val="0"/>
              </w:rPr>
              <w:t>The PY2</w:t>
            </w:r>
            <w:r w:rsidR="00002604" w:rsidRPr="000E10B4">
              <w:rPr>
                <w:i w:val="0"/>
                <w:iCs w:val="0"/>
              </w:rPr>
              <w:t>3</w:t>
            </w:r>
            <w:r w:rsidRPr="000E10B4">
              <w:rPr>
                <w:i w:val="0"/>
                <w:iCs w:val="0"/>
              </w:rPr>
              <w:t xml:space="preserve"> AEL Participants Served Targets negotiations will cover:</w:t>
            </w:r>
          </w:p>
          <w:p w14:paraId="0856EA8A" w14:textId="77777777" w:rsidR="00211A07" w:rsidRPr="000E10B4" w:rsidRDefault="00211A07" w:rsidP="00211A07"/>
          <w:p w14:paraId="0CB63D19" w14:textId="77777777" w:rsidR="000D5248" w:rsidRPr="000E10B4" w:rsidRDefault="000D5248" w:rsidP="000D5248">
            <w:pPr>
              <w:pStyle w:val="Heading4"/>
              <w:numPr>
                <w:ilvl w:val="0"/>
                <w:numId w:val="3"/>
              </w:numPr>
              <w:rPr>
                <w:i w:val="0"/>
                <w:iCs w:val="0"/>
              </w:rPr>
            </w:pPr>
            <w:r w:rsidRPr="000E10B4">
              <w:rPr>
                <w:i w:val="0"/>
                <w:iCs w:val="0"/>
              </w:rPr>
              <w:t>Total Participants Served</w:t>
            </w:r>
          </w:p>
          <w:p w14:paraId="64670A95" w14:textId="77777777" w:rsidR="000D5248" w:rsidRPr="000E10B4" w:rsidRDefault="000D5248" w:rsidP="000D5248">
            <w:pPr>
              <w:pStyle w:val="Heading4"/>
              <w:numPr>
                <w:ilvl w:val="0"/>
                <w:numId w:val="3"/>
              </w:numPr>
              <w:rPr>
                <w:i w:val="0"/>
                <w:iCs w:val="0"/>
              </w:rPr>
            </w:pPr>
            <w:r w:rsidRPr="000E10B4">
              <w:rPr>
                <w:i w:val="0"/>
                <w:iCs w:val="0"/>
              </w:rPr>
              <w:t>Intensive Participants Served</w:t>
            </w:r>
          </w:p>
          <w:p w14:paraId="36B5D456" w14:textId="77777777" w:rsidR="000D5248" w:rsidRPr="000E10B4" w:rsidRDefault="00211A07" w:rsidP="000D5248">
            <w:pPr>
              <w:pStyle w:val="Heading4"/>
              <w:numPr>
                <w:ilvl w:val="0"/>
                <w:numId w:val="3"/>
              </w:numPr>
              <w:rPr>
                <w:i w:val="0"/>
                <w:iCs w:val="0"/>
              </w:rPr>
            </w:pPr>
            <w:r w:rsidRPr="000E10B4">
              <w:rPr>
                <w:i w:val="0"/>
                <w:iCs w:val="0"/>
              </w:rPr>
              <w:t>IET Participants Served</w:t>
            </w:r>
          </w:p>
          <w:p w14:paraId="246E6C6A" w14:textId="77777777" w:rsidR="00211A07" w:rsidRPr="000E10B4" w:rsidRDefault="00211A07" w:rsidP="00211A07"/>
          <w:p w14:paraId="20FDA335" w14:textId="7CB3CED4" w:rsidR="00211A07" w:rsidRPr="00211A07" w:rsidRDefault="00FF629D" w:rsidP="00211A07">
            <w:pPr>
              <w:pStyle w:val="Heading4"/>
            </w:pPr>
            <w:r w:rsidRPr="000E10B4">
              <w:rPr>
                <w:i w:val="0"/>
                <w:iCs w:val="0"/>
              </w:rPr>
              <w:t>W</w:t>
            </w:r>
            <w:r w:rsidR="0018783A" w:rsidRPr="000E10B4">
              <w:rPr>
                <w:i w:val="0"/>
                <w:iCs w:val="0"/>
              </w:rPr>
              <w:t xml:space="preserve">e also calculate the anticipated count of individuals receiving </w:t>
            </w:r>
            <w:r w:rsidR="00A204EE">
              <w:rPr>
                <w:i w:val="0"/>
                <w:iCs w:val="0"/>
              </w:rPr>
              <w:t>B</w:t>
            </w:r>
            <w:r w:rsidR="0018783A" w:rsidRPr="000E10B4">
              <w:rPr>
                <w:i w:val="0"/>
                <w:iCs w:val="0"/>
              </w:rPr>
              <w:t>asic AEL services</w:t>
            </w:r>
            <w:r w:rsidR="00126F39">
              <w:rPr>
                <w:i w:val="0"/>
                <w:iCs w:val="0"/>
              </w:rPr>
              <w:t>.</w:t>
            </w:r>
            <w:r w:rsidR="00E93EC9">
              <w:rPr>
                <w:i w:val="0"/>
                <w:iCs w:val="0"/>
              </w:rPr>
              <w:t xml:space="preserve"> This is derived from</w:t>
            </w:r>
            <w:r w:rsidRPr="000E10B4">
              <w:rPr>
                <w:i w:val="0"/>
                <w:iCs w:val="0"/>
              </w:rPr>
              <w:t xml:space="preserve"> </w:t>
            </w:r>
            <w:r w:rsidR="00E93EC9">
              <w:rPr>
                <w:i w:val="0"/>
                <w:iCs w:val="0"/>
              </w:rPr>
              <w:t>subtracting</w:t>
            </w:r>
            <w:r w:rsidR="0018783A" w:rsidRPr="000E10B4">
              <w:rPr>
                <w:i w:val="0"/>
                <w:iCs w:val="0"/>
              </w:rPr>
              <w:t xml:space="preserve"> the proposed expenditure on IET and Intensive participants</w:t>
            </w:r>
            <w:r w:rsidR="000A20B0">
              <w:rPr>
                <w:i w:val="0"/>
                <w:iCs w:val="0"/>
              </w:rPr>
              <w:t>,</w:t>
            </w:r>
            <w:r w:rsidR="00A10962">
              <w:rPr>
                <w:i w:val="0"/>
                <w:iCs w:val="0"/>
              </w:rPr>
              <w:t xml:space="preserve"> and </w:t>
            </w:r>
            <w:r w:rsidR="000A20B0">
              <w:rPr>
                <w:i w:val="0"/>
                <w:iCs w:val="0"/>
              </w:rPr>
              <w:t xml:space="preserve">then </w:t>
            </w:r>
            <w:r w:rsidR="00A10962">
              <w:rPr>
                <w:i w:val="0"/>
                <w:iCs w:val="0"/>
              </w:rPr>
              <w:t>dividing</w:t>
            </w:r>
            <w:r w:rsidR="007356CC">
              <w:rPr>
                <w:i w:val="0"/>
                <w:iCs w:val="0"/>
              </w:rPr>
              <w:t xml:space="preserve"> the difference</w:t>
            </w:r>
            <w:r w:rsidR="00A10962">
              <w:rPr>
                <w:i w:val="0"/>
                <w:iCs w:val="0"/>
              </w:rPr>
              <w:t xml:space="preserve"> by the</w:t>
            </w:r>
            <w:r w:rsidR="00A204EE">
              <w:rPr>
                <w:i w:val="0"/>
                <w:iCs w:val="0"/>
              </w:rPr>
              <w:t xml:space="preserve"> standard cost for </w:t>
            </w:r>
            <w:r w:rsidR="00611EF4" w:rsidRPr="000E10B4">
              <w:rPr>
                <w:i w:val="0"/>
                <w:iCs w:val="0"/>
              </w:rPr>
              <w:t>Basic AEL</w:t>
            </w:r>
            <w:r w:rsidR="0018783A" w:rsidRPr="0018783A">
              <w:t>.</w:t>
            </w:r>
          </w:p>
        </w:tc>
        <w:tc>
          <w:tcPr>
            <w:tcW w:w="421" w:type="dxa"/>
            <w:shd w:val="clear" w:color="auto" w:fill="EDF0F4" w:themeFill="accent3"/>
          </w:tcPr>
          <w:p w14:paraId="3D6AD955" w14:textId="77777777" w:rsidR="001205A1" w:rsidRPr="003A798E" w:rsidRDefault="001205A1"/>
        </w:tc>
      </w:tr>
      <w:tr w:rsidR="001205A1" w:rsidRPr="003A798E" w14:paraId="08A5AEA8" w14:textId="77777777" w:rsidTr="00A24793">
        <w:trPr>
          <w:trHeight w:val="8100"/>
        </w:trPr>
        <w:tc>
          <w:tcPr>
            <w:tcW w:w="421" w:type="dxa"/>
            <w:shd w:val="clear" w:color="auto" w:fill="EDF0F4" w:themeFill="accent3"/>
          </w:tcPr>
          <w:p w14:paraId="41ABE532" w14:textId="77777777" w:rsidR="00A81248" w:rsidRPr="003A798E" w:rsidRDefault="00A81248"/>
        </w:tc>
        <w:tc>
          <w:tcPr>
            <w:tcW w:w="4912" w:type="dxa"/>
            <w:shd w:val="clear" w:color="auto" w:fill="EDF0F4" w:themeFill="accent3"/>
          </w:tcPr>
          <w:p w14:paraId="5D509E20" w14:textId="74EED861" w:rsidR="000E10B4" w:rsidRPr="000E10B4" w:rsidRDefault="00775DC5" w:rsidP="000E10B4">
            <w:pPr>
              <w:pStyle w:val="Heading4"/>
              <w:rPr>
                <w:b/>
                <w:bCs/>
              </w:rPr>
            </w:pPr>
            <w:r>
              <w:rPr>
                <w:b/>
                <w:bCs/>
              </w:rPr>
              <w:t xml:space="preserve">Negotiation </w:t>
            </w:r>
            <w:r w:rsidR="000E10B4" w:rsidRPr="000E10B4">
              <w:rPr>
                <w:b/>
                <w:bCs/>
              </w:rPr>
              <w:t>Instructions</w:t>
            </w:r>
          </w:p>
          <w:p w14:paraId="086390D7" w14:textId="148FA53E" w:rsidR="00C615AB" w:rsidRPr="000652CB" w:rsidRDefault="008D3B38" w:rsidP="00C615AB">
            <w:pPr>
              <w:pStyle w:val="Text"/>
              <w:rPr>
                <w:i w:val="0"/>
                <w:iCs/>
                <w:sz w:val="26"/>
                <w:szCs w:val="26"/>
              </w:rPr>
            </w:pPr>
            <w:r>
              <w:rPr>
                <w:i w:val="0"/>
                <w:iCs/>
                <w:sz w:val="26"/>
                <w:szCs w:val="26"/>
              </w:rPr>
              <w:br/>
            </w:r>
            <w:r w:rsidR="00C615AB" w:rsidRPr="000652CB">
              <w:rPr>
                <w:i w:val="0"/>
                <w:iCs/>
                <w:sz w:val="26"/>
                <w:szCs w:val="26"/>
              </w:rPr>
              <w:t>TWC has developed a tool to facilitate these negotiations</w:t>
            </w:r>
            <w:r w:rsidR="007356CC" w:rsidRPr="000652CB">
              <w:rPr>
                <w:i w:val="0"/>
                <w:iCs/>
                <w:sz w:val="26"/>
                <w:szCs w:val="26"/>
              </w:rPr>
              <w:t xml:space="preserve"> (see attached spreadsheet)</w:t>
            </w:r>
            <w:r w:rsidR="00C615AB" w:rsidRPr="000652CB">
              <w:rPr>
                <w:i w:val="0"/>
                <w:iCs/>
                <w:sz w:val="26"/>
                <w:szCs w:val="26"/>
              </w:rPr>
              <w:t>. After selecting a Grantee, our proposals will be displayed on the first tab. If you accept our targets, you can confirm by selecting 'Yes' in cell H7, which will copy our proposals to the Grantee line, allowing you to forward it back without further action.</w:t>
            </w:r>
          </w:p>
          <w:p w14:paraId="6EB84911" w14:textId="77777777" w:rsidR="00C615AB" w:rsidRPr="000652CB" w:rsidRDefault="00C615AB" w:rsidP="00C615AB">
            <w:pPr>
              <w:pStyle w:val="Text"/>
              <w:rPr>
                <w:i w:val="0"/>
                <w:iCs/>
                <w:sz w:val="26"/>
                <w:szCs w:val="26"/>
              </w:rPr>
            </w:pPr>
          </w:p>
          <w:p w14:paraId="2ED7FD86" w14:textId="02B197EB" w:rsidR="00C615AB" w:rsidRPr="000652CB" w:rsidRDefault="00C615AB" w:rsidP="00C615AB">
            <w:pPr>
              <w:pStyle w:val="Text"/>
              <w:rPr>
                <w:i w:val="0"/>
                <w:iCs/>
                <w:sz w:val="26"/>
                <w:szCs w:val="26"/>
              </w:rPr>
            </w:pPr>
            <w:r w:rsidRPr="000652CB">
              <w:rPr>
                <w:i w:val="0"/>
                <w:iCs/>
                <w:sz w:val="26"/>
                <w:szCs w:val="26"/>
              </w:rPr>
              <w:t xml:space="preserve">If you select 'No', input your target proposals for Intensive and IET Participants Served (cells B11 and D11, respectively), based on expected demand/capacity. The balance is allocated to the 'Basic Only' category, summing up to the Total AEL Participants target. If your proposed targets differ significantly from ours, the tool will request justification (highlighted in Rows 15-18). </w:t>
            </w:r>
          </w:p>
          <w:p w14:paraId="2F25CA55" w14:textId="77777777" w:rsidR="00C615AB" w:rsidRPr="000652CB" w:rsidRDefault="00C615AB" w:rsidP="00C615AB">
            <w:pPr>
              <w:pStyle w:val="Text"/>
              <w:rPr>
                <w:i w:val="0"/>
                <w:iCs/>
                <w:sz w:val="26"/>
                <w:szCs w:val="26"/>
              </w:rPr>
            </w:pPr>
          </w:p>
          <w:p w14:paraId="3A53B53F" w14:textId="5523302F" w:rsidR="001205A1" w:rsidRPr="00600A8E" w:rsidRDefault="00600A8E" w:rsidP="00C615AB">
            <w:pPr>
              <w:pStyle w:val="Text"/>
              <w:rPr>
                <w:b/>
                <w:bCs/>
              </w:rPr>
            </w:pPr>
            <w:r w:rsidRPr="00600A8E">
              <w:rPr>
                <w:b/>
                <w:bCs/>
                <w:sz w:val="20"/>
                <w:szCs w:val="20"/>
              </w:rPr>
              <w:t xml:space="preserve">Note: </w:t>
            </w:r>
            <w:r w:rsidR="000652CB" w:rsidRPr="00600A8E">
              <w:rPr>
                <w:b/>
                <w:bCs/>
                <w:sz w:val="20"/>
                <w:szCs w:val="20"/>
              </w:rPr>
              <w:t>I</w:t>
            </w:r>
            <w:r w:rsidR="00C615AB" w:rsidRPr="00600A8E">
              <w:rPr>
                <w:b/>
                <w:bCs/>
                <w:sz w:val="20"/>
                <w:szCs w:val="20"/>
              </w:rPr>
              <w:t xml:space="preserve">f an explanation is required, this is </w:t>
            </w:r>
            <w:r w:rsidR="00433E3C" w:rsidRPr="00433E3C">
              <w:rPr>
                <w:b/>
                <w:bCs/>
                <w:sz w:val="20"/>
                <w:szCs w:val="20"/>
                <w:u w:val="single"/>
              </w:rPr>
              <w:t>NOT</w:t>
            </w:r>
            <w:r w:rsidR="00433E3C" w:rsidRPr="00600A8E">
              <w:rPr>
                <w:b/>
                <w:bCs/>
                <w:sz w:val="20"/>
                <w:szCs w:val="20"/>
              </w:rPr>
              <w:t xml:space="preserve"> </w:t>
            </w:r>
            <w:r w:rsidR="00C615AB" w:rsidRPr="00600A8E">
              <w:rPr>
                <w:b/>
                <w:bCs/>
                <w:sz w:val="20"/>
                <w:szCs w:val="20"/>
              </w:rPr>
              <w:t>a cue to modify your targets. If you strongly believe in your proposals, we encourage you to provide supporting rationale.</w:t>
            </w:r>
            <w:r w:rsidR="00C615AB" w:rsidRPr="00600A8E">
              <w:rPr>
                <w:b/>
                <w:bCs/>
              </w:rPr>
              <w:t xml:space="preserve"> </w:t>
            </w:r>
          </w:p>
        </w:tc>
        <w:tc>
          <w:tcPr>
            <w:tcW w:w="4912" w:type="dxa"/>
            <w:shd w:val="clear" w:color="auto" w:fill="EDF0F4" w:themeFill="accent3"/>
          </w:tcPr>
          <w:p w14:paraId="385D1372" w14:textId="2991EE77" w:rsidR="00A81248" w:rsidRPr="003A798E" w:rsidRDefault="00E64DFE" w:rsidP="00A24793">
            <w:pPr>
              <w:jc w:val="right"/>
            </w:pPr>
            <w:r>
              <w:rPr>
                <w:noProof/>
              </w:rPr>
              <w:drawing>
                <wp:inline distT="0" distB="0" distL="0" distR="0" wp14:anchorId="5E7619FB" wp14:editId="6DD2A71C">
                  <wp:extent cx="2959100" cy="4314825"/>
                  <wp:effectExtent l="0" t="0" r="0" b="9525"/>
                  <wp:docPr id="7" name="Picture 7" descr="Agree or Disagre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gree or Disagree graphic"/>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959100" cy="4314825"/>
                          </a:xfrm>
                          <a:prstGeom prst="rect">
                            <a:avLst/>
                          </a:prstGeom>
                        </pic:spPr>
                      </pic:pic>
                    </a:graphicData>
                  </a:graphic>
                </wp:inline>
              </w:drawing>
            </w:r>
          </w:p>
        </w:tc>
        <w:tc>
          <w:tcPr>
            <w:tcW w:w="421" w:type="dxa"/>
            <w:shd w:val="clear" w:color="auto" w:fill="EDF0F4" w:themeFill="accent3"/>
          </w:tcPr>
          <w:p w14:paraId="65BFC2EB" w14:textId="77777777" w:rsidR="00A81248" w:rsidRPr="003A798E" w:rsidRDefault="00A81248"/>
        </w:tc>
      </w:tr>
    </w:tbl>
    <w:p w14:paraId="572A0B1E" w14:textId="77777777" w:rsidR="00FB65B8" w:rsidRPr="003A798E" w:rsidRDefault="00FB65B8" w:rsidP="00A24793"/>
    <w:p w14:paraId="02F95E8F" w14:textId="77777777" w:rsidR="00A24793" w:rsidRPr="003A798E" w:rsidRDefault="00A24793" w:rsidP="00A24793"/>
    <w:tbl>
      <w:tblPr>
        <w:tblW w:w="10773" w:type="dxa"/>
        <w:shd w:val="clear" w:color="auto" w:fill="ECFBFB" w:themeFill="accent4"/>
        <w:tblLook w:val="0600" w:firstRow="0" w:lastRow="0" w:firstColumn="0" w:lastColumn="0" w:noHBand="1" w:noVBand="1"/>
      </w:tblPr>
      <w:tblGrid>
        <w:gridCol w:w="426"/>
        <w:gridCol w:w="240"/>
        <w:gridCol w:w="9682"/>
        <w:gridCol w:w="425"/>
      </w:tblGrid>
      <w:tr w:rsidR="00A24793" w:rsidRPr="003A798E" w14:paraId="54E1BFE5" w14:textId="77777777" w:rsidTr="003A1F05">
        <w:trPr>
          <w:trHeight w:val="547"/>
        </w:trPr>
        <w:tc>
          <w:tcPr>
            <w:tcW w:w="426" w:type="dxa"/>
            <w:shd w:val="clear" w:color="auto" w:fill="ECFBFB" w:themeFill="accent4"/>
          </w:tcPr>
          <w:p w14:paraId="33AD5390" w14:textId="77777777" w:rsidR="00A24793" w:rsidRPr="003A798E" w:rsidRDefault="00A24793" w:rsidP="00A24793"/>
        </w:tc>
        <w:tc>
          <w:tcPr>
            <w:tcW w:w="240" w:type="dxa"/>
            <w:shd w:val="clear" w:color="auto" w:fill="ECFBFB" w:themeFill="accent4"/>
          </w:tcPr>
          <w:p w14:paraId="1B6B9D53" w14:textId="77777777" w:rsidR="00A24793" w:rsidRPr="003A798E" w:rsidRDefault="00A24793" w:rsidP="00A24793"/>
        </w:tc>
        <w:tc>
          <w:tcPr>
            <w:tcW w:w="9682" w:type="dxa"/>
            <w:shd w:val="clear" w:color="auto" w:fill="ECFBFB" w:themeFill="accent4"/>
          </w:tcPr>
          <w:p w14:paraId="0A7F33C0" w14:textId="77777777" w:rsidR="00A24793" w:rsidRPr="003A798E" w:rsidRDefault="00A24793" w:rsidP="00A24793"/>
        </w:tc>
        <w:tc>
          <w:tcPr>
            <w:tcW w:w="425" w:type="dxa"/>
            <w:shd w:val="clear" w:color="auto" w:fill="ECFBFB" w:themeFill="accent4"/>
          </w:tcPr>
          <w:p w14:paraId="4CF101E0" w14:textId="77777777" w:rsidR="00A24793" w:rsidRPr="003A798E" w:rsidRDefault="00A24793" w:rsidP="00A24793"/>
        </w:tc>
      </w:tr>
      <w:tr w:rsidR="0031055C" w:rsidRPr="003A798E" w14:paraId="1BB69712" w14:textId="77777777" w:rsidTr="003A1F05">
        <w:trPr>
          <w:trHeight w:val="9513"/>
        </w:trPr>
        <w:tc>
          <w:tcPr>
            <w:tcW w:w="426" w:type="dxa"/>
            <w:shd w:val="clear" w:color="auto" w:fill="ECFBFB" w:themeFill="accent4"/>
          </w:tcPr>
          <w:p w14:paraId="738BA601" w14:textId="77777777" w:rsidR="0031055C" w:rsidRPr="003A798E" w:rsidRDefault="0031055C" w:rsidP="00D6375E"/>
        </w:tc>
        <w:tc>
          <w:tcPr>
            <w:tcW w:w="240" w:type="dxa"/>
            <w:tcBorders>
              <w:bottom w:val="single" w:sz="18" w:space="0" w:color="00C1C7" w:themeColor="accent2"/>
            </w:tcBorders>
            <w:shd w:val="clear" w:color="auto" w:fill="ECFBFB" w:themeFill="accent4"/>
          </w:tcPr>
          <w:p w14:paraId="4F6C7131" w14:textId="72F52448" w:rsidR="0031055C" w:rsidRPr="003A798E" w:rsidRDefault="0031055C" w:rsidP="00FC49AE">
            <w:pPr>
              <w:pStyle w:val="Heading5"/>
            </w:pPr>
          </w:p>
        </w:tc>
        <w:tc>
          <w:tcPr>
            <w:tcW w:w="9682" w:type="dxa"/>
            <w:tcBorders>
              <w:bottom w:val="single" w:sz="18" w:space="0" w:color="00C1C7" w:themeColor="accent2"/>
            </w:tcBorders>
            <w:shd w:val="clear" w:color="auto" w:fill="ECFBFB" w:themeFill="accent4"/>
          </w:tcPr>
          <w:p w14:paraId="05D59C75" w14:textId="77777777" w:rsidR="0031055C" w:rsidRDefault="003F5284" w:rsidP="003F5284">
            <w:pPr>
              <w:pStyle w:val="Heading4"/>
              <w:rPr>
                <w:b/>
                <w:bCs/>
              </w:rPr>
            </w:pPr>
            <w:r w:rsidRPr="008D3B38">
              <w:rPr>
                <w:b/>
                <w:bCs/>
              </w:rPr>
              <w:t xml:space="preserve">Carryforward Funds </w:t>
            </w:r>
          </w:p>
          <w:p w14:paraId="56B98BCF" w14:textId="7CB244D6" w:rsidR="008D3B38" w:rsidRDefault="008D3B38" w:rsidP="008D3B38">
            <w:pPr>
              <w:rPr>
                <w:sz w:val="26"/>
                <w:szCs w:val="26"/>
              </w:rPr>
            </w:pPr>
            <w:r>
              <w:br/>
            </w:r>
            <w:r w:rsidR="009B1F8F">
              <w:rPr>
                <w:sz w:val="26"/>
                <w:szCs w:val="26"/>
              </w:rPr>
              <w:t>O</w:t>
            </w:r>
            <w:r w:rsidR="00E47928">
              <w:rPr>
                <w:sz w:val="26"/>
                <w:szCs w:val="26"/>
              </w:rPr>
              <w:t xml:space="preserve">nce </w:t>
            </w:r>
            <w:r w:rsidR="00FD770D">
              <w:rPr>
                <w:sz w:val="26"/>
                <w:szCs w:val="26"/>
              </w:rPr>
              <w:t xml:space="preserve">carryforward </w:t>
            </w:r>
            <w:r w:rsidR="005708B3">
              <w:rPr>
                <w:sz w:val="26"/>
                <w:szCs w:val="26"/>
              </w:rPr>
              <w:t>funds are</w:t>
            </w:r>
            <w:r w:rsidR="00FD770D">
              <w:rPr>
                <w:sz w:val="26"/>
                <w:szCs w:val="26"/>
              </w:rPr>
              <w:t xml:space="preserve"> </w:t>
            </w:r>
            <w:r w:rsidR="00E47928">
              <w:rPr>
                <w:sz w:val="26"/>
                <w:szCs w:val="26"/>
              </w:rPr>
              <w:t xml:space="preserve">determined, </w:t>
            </w:r>
            <w:r w:rsidR="00E12B00">
              <w:rPr>
                <w:sz w:val="26"/>
                <w:szCs w:val="26"/>
              </w:rPr>
              <w:t>it</w:t>
            </w:r>
            <w:r w:rsidR="00E47928">
              <w:rPr>
                <w:sz w:val="26"/>
                <w:szCs w:val="26"/>
              </w:rPr>
              <w:t xml:space="preserve"> will be </w:t>
            </w:r>
            <w:r w:rsidR="00E12B00">
              <w:rPr>
                <w:sz w:val="26"/>
                <w:szCs w:val="26"/>
              </w:rPr>
              <w:t xml:space="preserve">applied according to the proportions </w:t>
            </w:r>
            <w:r w:rsidR="005D6F30">
              <w:rPr>
                <w:sz w:val="26"/>
                <w:szCs w:val="26"/>
              </w:rPr>
              <w:t>agreed upon</w:t>
            </w:r>
            <w:r w:rsidR="00A86E45">
              <w:rPr>
                <w:sz w:val="26"/>
                <w:szCs w:val="26"/>
              </w:rPr>
              <w:t xml:space="preserve"> </w:t>
            </w:r>
            <w:r w:rsidR="00EF3193">
              <w:rPr>
                <w:sz w:val="26"/>
                <w:szCs w:val="26"/>
              </w:rPr>
              <w:t xml:space="preserve">now </w:t>
            </w:r>
            <w:r w:rsidR="00A86E45">
              <w:rPr>
                <w:sz w:val="26"/>
                <w:szCs w:val="26"/>
              </w:rPr>
              <w:t xml:space="preserve">to </w:t>
            </w:r>
            <w:r w:rsidR="00805825">
              <w:rPr>
                <w:sz w:val="26"/>
                <w:szCs w:val="26"/>
              </w:rPr>
              <w:t xml:space="preserve">Basic AEL, </w:t>
            </w:r>
            <w:r w:rsidR="008C4966">
              <w:rPr>
                <w:sz w:val="26"/>
                <w:szCs w:val="26"/>
              </w:rPr>
              <w:t>IET, and Intensive services.</w:t>
            </w:r>
            <w:r w:rsidR="00EF3193">
              <w:rPr>
                <w:sz w:val="26"/>
                <w:szCs w:val="26"/>
              </w:rPr>
              <w:t xml:space="preserve"> </w:t>
            </w:r>
            <w:r w:rsidR="00D3199E">
              <w:rPr>
                <w:sz w:val="26"/>
                <w:szCs w:val="26"/>
              </w:rPr>
              <w:t>That means if 30% of your allocation goes to IET, 30% of your carryforward will go to IET.</w:t>
            </w:r>
          </w:p>
          <w:p w14:paraId="4179D92C" w14:textId="77777777" w:rsidR="002D62E8" w:rsidRDefault="002D62E8" w:rsidP="008D3B38">
            <w:pPr>
              <w:rPr>
                <w:sz w:val="26"/>
                <w:szCs w:val="26"/>
              </w:rPr>
            </w:pPr>
          </w:p>
          <w:p w14:paraId="3E054CF3" w14:textId="77777777" w:rsidR="00000075" w:rsidRDefault="00000075" w:rsidP="00000075">
            <w:pPr>
              <w:pStyle w:val="Heading4"/>
              <w:rPr>
                <w:b/>
                <w:bCs/>
              </w:rPr>
            </w:pPr>
            <w:r w:rsidRPr="00000075">
              <w:rPr>
                <w:b/>
                <w:bCs/>
              </w:rPr>
              <w:t>Other Targets</w:t>
            </w:r>
          </w:p>
          <w:p w14:paraId="27FDCCC8" w14:textId="2B1800A8" w:rsidR="00310A6D" w:rsidRDefault="006C658F" w:rsidP="00310A6D">
            <w:pPr>
              <w:rPr>
                <w:sz w:val="26"/>
                <w:szCs w:val="26"/>
              </w:rPr>
            </w:pPr>
            <w:r>
              <w:br/>
            </w:r>
            <w:r w:rsidR="00310A6D" w:rsidRPr="00DF12E5">
              <w:rPr>
                <w:sz w:val="26"/>
                <w:szCs w:val="26"/>
              </w:rPr>
              <w:t>Besides Participant targets, TWC also establish</w:t>
            </w:r>
            <w:r w:rsidRPr="00DF12E5">
              <w:rPr>
                <w:sz w:val="26"/>
                <w:szCs w:val="26"/>
              </w:rPr>
              <w:t>es</w:t>
            </w:r>
            <w:r w:rsidR="00310A6D" w:rsidRPr="00DF12E5">
              <w:rPr>
                <w:sz w:val="26"/>
                <w:szCs w:val="26"/>
              </w:rPr>
              <w:t xml:space="preserve"> four additional outcome targets. Anticipated "exit-based" outcome measure targets will align with those approved by the Texas Legislature in the General Appropriations Act.</w:t>
            </w:r>
            <w:r w:rsidR="00DF12E5">
              <w:rPr>
                <w:sz w:val="26"/>
                <w:szCs w:val="26"/>
              </w:rPr>
              <w:br/>
            </w:r>
          </w:p>
          <w:tbl>
            <w:tblPr>
              <w:tblStyle w:val="GridTable5Dark-Accent1"/>
              <w:tblW w:w="6363" w:type="dxa"/>
              <w:jc w:val="center"/>
              <w:tblLook w:val="04A0" w:firstRow="1" w:lastRow="0" w:firstColumn="1" w:lastColumn="0" w:noHBand="0" w:noVBand="1"/>
            </w:tblPr>
            <w:tblGrid>
              <w:gridCol w:w="5135"/>
              <w:gridCol w:w="1228"/>
            </w:tblGrid>
            <w:tr w:rsidR="00DF12E5" w14:paraId="43AEDB39" w14:textId="77777777" w:rsidTr="00945AB3">
              <w:trPr>
                <w:cnfStyle w:val="100000000000" w:firstRow="1" w:lastRow="0" w:firstColumn="0" w:lastColumn="0" w:oddVBand="0" w:evenVBand="0" w:oddHBand="0"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5135" w:type="dxa"/>
                  <w:noWrap/>
                  <w:hideMark/>
                </w:tcPr>
                <w:p w14:paraId="4580D594" w14:textId="77777777" w:rsidR="00DF12E5" w:rsidRPr="007A5BC0" w:rsidRDefault="00DF12E5" w:rsidP="00DF12E5">
                  <w:pPr>
                    <w:rPr>
                      <w:i/>
                      <w:iCs/>
                    </w:rPr>
                  </w:pPr>
                  <w:r w:rsidRPr="007A5BC0">
                    <w:rPr>
                      <w:i/>
                      <w:iCs/>
                    </w:rPr>
                    <w:t>AEL</w:t>
                  </w:r>
                </w:p>
              </w:tc>
              <w:tc>
                <w:tcPr>
                  <w:tcW w:w="1228" w:type="dxa"/>
                  <w:hideMark/>
                </w:tcPr>
                <w:p w14:paraId="7A8E6468" w14:textId="77777777" w:rsidR="00DF12E5" w:rsidRPr="007A5BC0" w:rsidRDefault="00DF12E5" w:rsidP="00DF12E5">
                  <w:pPr>
                    <w:jc w:val="center"/>
                    <w:cnfStyle w:val="100000000000" w:firstRow="1" w:lastRow="0" w:firstColumn="0" w:lastColumn="0" w:oddVBand="0" w:evenVBand="0" w:oddHBand="0" w:evenHBand="0" w:firstRowFirstColumn="0" w:firstRowLastColumn="0" w:lastRowFirstColumn="0" w:lastRowLastColumn="0"/>
                    <w:rPr>
                      <w:i/>
                      <w:iCs/>
                      <w:color w:val="000000"/>
                    </w:rPr>
                  </w:pPr>
                  <w:r w:rsidRPr="007A5BC0">
                    <w:rPr>
                      <w:i/>
                      <w:iCs/>
                    </w:rPr>
                    <w:t xml:space="preserve">PY23 </w:t>
                  </w:r>
                </w:p>
              </w:tc>
            </w:tr>
            <w:tr w:rsidR="00DF12E5" w14:paraId="4CEBC95C" w14:textId="77777777" w:rsidTr="00945AB3">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5135" w:type="dxa"/>
                  <w:noWrap/>
                  <w:hideMark/>
                </w:tcPr>
                <w:p w14:paraId="261CF3D9" w14:textId="77777777" w:rsidR="00DF12E5" w:rsidRPr="007A5BC0" w:rsidRDefault="00DF12E5" w:rsidP="00DF12E5">
                  <w:pPr>
                    <w:rPr>
                      <w:b w:val="0"/>
                      <w:bCs w:val="0"/>
                      <w:color w:val="auto"/>
                    </w:rPr>
                  </w:pPr>
                  <w:r w:rsidRPr="007A5BC0">
                    <w:t>Employed/Enrolled Q2 Post-Exit</w:t>
                  </w:r>
                </w:p>
              </w:tc>
              <w:tc>
                <w:tcPr>
                  <w:tcW w:w="1228" w:type="dxa"/>
                  <w:noWrap/>
                  <w:hideMark/>
                </w:tcPr>
                <w:p w14:paraId="3FC39304" w14:textId="77777777" w:rsidR="00DF12E5" w:rsidRPr="007A5BC0" w:rsidRDefault="00DF12E5" w:rsidP="00DF12E5">
                  <w:pPr>
                    <w:jc w:val="center"/>
                    <w:cnfStyle w:val="000000100000" w:firstRow="0" w:lastRow="0" w:firstColumn="0" w:lastColumn="0" w:oddVBand="0" w:evenVBand="0" w:oddHBand="1" w:evenHBand="0" w:firstRowFirstColumn="0" w:firstRowLastColumn="0" w:lastRowFirstColumn="0" w:lastRowLastColumn="0"/>
                  </w:pPr>
                  <w:r w:rsidRPr="007A5BC0">
                    <w:t>56.00%</w:t>
                  </w:r>
                </w:p>
              </w:tc>
            </w:tr>
            <w:tr w:rsidR="00DF12E5" w14:paraId="1FC5493E" w14:textId="77777777" w:rsidTr="00945AB3">
              <w:trPr>
                <w:trHeight w:val="280"/>
                <w:jc w:val="center"/>
              </w:trPr>
              <w:tc>
                <w:tcPr>
                  <w:cnfStyle w:val="001000000000" w:firstRow="0" w:lastRow="0" w:firstColumn="1" w:lastColumn="0" w:oddVBand="0" w:evenVBand="0" w:oddHBand="0" w:evenHBand="0" w:firstRowFirstColumn="0" w:firstRowLastColumn="0" w:lastRowFirstColumn="0" w:lastRowLastColumn="0"/>
                  <w:tcW w:w="5135" w:type="dxa"/>
                  <w:noWrap/>
                  <w:hideMark/>
                </w:tcPr>
                <w:p w14:paraId="0C989E26" w14:textId="77777777" w:rsidR="00DF12E5" w:rsidRPr="007A5BC0" w:rsidRDefault="00DF12E5" w:rsidP="00DF12E5">
                  <w:r w:rsidRPr="007A5BC0">
                    <w:t>Employed/Enrolled Q2-Q4 Post-Exit</w:t>
                  </w:r>
                </w:p>
              </w:tc>
              <w:tc>
                <w:tcPr>
                  <w:tcW w:w="1228" w:type="dxa"/>
                  <w:noWrap/>
                  <w:hideMark/>
                </w:tcPr>
                <w:p w14:paraId="55F7D578" w14:textId="77777777" w:rsidR="00DF12E5" w:rsidRPr="007A5BC0" w:rsidRDefault="00DF12E5" w:rsidP="00DF12E5">
                  <w:pPr>
                    <w:jc w:val="center"/>
                    <w:cnfStyle w:val="000000000000" w:firstRow="0" w:lastRow="0" w:firstColumn="0" w:lastColumn="0" w:oddVBand="0" w:evenVBand="0" w:oddHBand="0" w:evenHBand="0" w:firstRowFirstColumn="0" w:firstRowLastColumn="0" w:lastRowFirstColumn="0" w:lastRowLastColumn="0"/>
                  </w:pPr>
                  <w:r w:rsidRPr="007A5BC0">
                    <w:t>84.00%</w:t>
                  </w:r>
                </w:p>
              </w:tc>
            </w:tr>
            <w:tr w:rsidR="00DF12E5" w14:paraId="54DDA6A9" w14:textId="77777777" w:rsidTr="00945AB3">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5135" w:type="dxa"/>
                  <w:noWrap/>
                  <w:hideMark/>
                </w:tcPr>
                <w:p w14:paraId="6E979188" w14:textId="77777777" w:rsidR="00DF12E5" w:rsidRPr="007A5BC0" w:rsidRDefault="00DF12E5" w:rsidP="00DF12E5">
                  <w:r w:rsidRPr="007A5BC0">
                    <w:t>Credential Rate</w:t>
                  </w:r>
                </w:p>
              </w:tc>
              <w:tc>
                <w:tcPr>
                  <w:tcW w:w="1228" w:type="dxa"/>
                  <w:noWrap/>
                  <w:hideMark/>
                </w:tcPr>
                <w:p w14:paraId="47B70F95" w14:textId="77777777" w:rsidR="00DF12E5" w:rsidRPr="007A5BC0" w:rsidRDefault="00DF12E5" w:rsidP="00DF12E5">
                  <w:pPr>
                    <w:jc w:val="center"/>
                    <w:cnfStyle w:val="000000100000" w:firstRow="0" w:lastRow="0" w:firstColumn="0" w:lastColumn="0" w:oddVBand="0" w:evenVBand="0" w:oddHBand="1" w:evenHBand="0" w:firstRowFirstColumn="0" w:firstRowLastColumn="0" w:lastRowFirstColumn="0" w:lastRowLastColumn="0"/>
                  </w:pPr>
                  <w:r w:rsidRPr="007A5BC0">
                    <w:t>45.00%</w:t>
                  </w:r>
                </w:p>
              </w:tc>
            </w:tr>
          </w:tbl>
          <w:p w14:paraId="7E12F3DE" w14:textId="77777777" w:rsidR="00DF12E5" w:rsidRPr="00DF12E5" w:rsidRDefault="00DF12E5" w:rsidP="00310A6D">
            <w:pPr>
              <w:rPr>
                <w:sz w:val="26"/>
                <w:szCs w:val="26"/>
              </w:rPr>
            </w:pPr>
          </w:p>
          <w:p w14:paraId="2F955FE4" w14:textId="52CD44DE" w:rsidR="00000075" w:rsidRDefault="00310A6D" w:rsidP="00310A6D">
            <w:pPr>
              <w:rPr>
                <w:sz w:val="26"/>
                <w:szCs w:val="26"/>
              </w:rPr>
            </w:pPr>
            <w:r w:rsidRPr="00DF12E5">
              <w:rPr>
                <w:sz w:val="26"/>
                <w:szCs w:val="26"/>
              </w:rPr>
              <w:t xml:space="preserve">The final target pertains to Measurable Skills Gain, computed as a weighted average of the 12 EFL </w:t>
            </w:r>
            <w:proofErr w:type="spellStart"/>
            <w:r w:rsidRPr="00DF12E5">
              <w:rPr>
                <w:sz w:val="26"/>
                <w:szCs w:val="26"/>
              </w:rPr>
              <w:t>subtargets</w:t>
            </w:r>
            <w:proofErr w:type="spellEnd"/>
            <w:r w:rsidRPr="00DF12E5">
              <w:rPr>
                <w:sz w:val="26"/>
                <w:szCs w:val="26"/>
              </w:rPr>
              <w:t xml:space="preserve"> negotiated with the U.S. Department of Education. While each Grantee is accountable for overall Measurable Skills Gain performance—which may shift with enrollment changes—if a Grantee fulfills each of the 12 </w:t>
            </w:r>
            <w:proofErr w:type="spellStart"/>
            <w:r w:rsidRPr="00DF12E5">
              <w:rPr>
                <w:sz w:val="26"/>
                <w:szCs w:val="26"/>
              </w:rPr>
              <w:t>subtargets</w:t>
            </w:r>
            <w:proofErr w:type="spellEnd"/>
            <w:r w:rsidRPr="00DF12E5">
              <w:rPr>
                <w:sz w:val="26"/>
                <w:szCs w:val="26"/>
              </w:rPr>
              <w:t>, they will meet the overall target for the year.</w:t>
            </w:r>
          </w:p>
          <w:p w14:paraId="27D7D543" w14:textId="77777777" w:rsidR="00945AB3" w:rsidRDefault="00945AB3" w:rsidP="00310A6D">
            <w:pPr>
              <w:rPr>
                <w:sz w:val="26"/>
                <w:szCs w:val="26"/>
              </w:rPr>
            </w:pPr>
          </w:p>
          <w:tbl>
            <w:tblPr>
              <w:tblStyle w:val="GridTable5Dark-Accent1"/>
              <w:tblW w:w="0" w:type="auto"/>
              <w:jc w:val="center"/>
              <w:tblLook w:val="04A0" w:firstRow="1" w:lastRow="0" w:firstColumn="1" w:lastColumn="0" w:noHBand="0" w:noVBand="1"/>
            </w:tblPr>
            <w:tblGrid>
              <w:gridCol w:w="2445"/>
              <w:gridCol w:w="1680"/>
              <w:gridCol w:w="2268"/>
              <w:gridCol w:w="1534"/>
            </w:tblGrid>
            <w:tr w:rsidR="006F1676" w14:paraId="4C37C4E0" w14:textId="1E25BBE3" w:rsidTr="006F1676">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2445" w:type="dxa"/>
                  <w:hideMark/>
                </w:tcPr>
                <w:p w14:paraId="1F2F2330" w14:textId="77777777" w:rsidR="004E20FC" w:rsidRPr="003A1F05" w:rsidRDefault="004E20FC" w:rsidP="004E20FC">
                  <w:pPr>
                    <w:rPr>
                      <w:i/>
                      <w:iCs/>
                    </w:rPr>
                  </w:pPr>
                  <w:r w:rsidRPr="003A1F05">
                    <w:rPr>
                      <w:i/>
                      <w:iCs/>
                    </w:rPr>
                    <w:t>EFL Level</w:t>
                  </w:r>
                </w:p>
              </w:tc>
              <w:tc>
                <w:tcPr>
                  <w:tcW w:w="1680" w:type="dxa"/>
                  <w:hideMark/>
                </w:tcPr>
                <w:p w14:paraId="611F67F9" w14:textId="77777777" w:rsidR="004E20FC" w:rsidRDefault="004E20FC" w:rsidP="004E20FC">
                  <w:pPr>
                    <w:jc w:val="center"/>
                    <w:cnfStyle w:val="100000000000" w:firstRow="1" w:lastRow="0" w:firstColumn="0" w:lastColumn="0" w:oddVBand="0" w:evenVBand="0" w:oddHBand="0" w:evenHBand="0" w:firstRowFirstColumn="0" w:firstRowLastColumn="0" w:lastRowFirstColumn="0" w:lastRowLastColumn="0"/>
                    <w:rPr>
                      <w:b w:val="0"/>
                      <w:bCs w:val="0"/>
                      <w:i/>
                      <w:iCs/>
                    </w:rPr>
                  </w:pPr>
                  <w:proofErr w:type="spellStart"/>
                  <w:r w:rsidRPr="003A1F05">
                    <w:rPr>
                      <w:i/>
                      <w:iCs/>
                    </w:rPr>
                    <w:t>SubTarget</w:t>
                  </w:r>
                  <w:proofErr w:type="spellEnd"/>
                </w:p>
                <w:p w14:paraId="6E65A354" w14:textId="1E1D324D" w:rsidR="004E20FC" w:rsidRPr="003A1F05" w:rsidRDefault="004E20FC" w:rsidP="004E20FC">
                  <w:pPr>
                    <w:jc w:val="center"/>
                    <w:cnfStyle w:val="100000000000" w:firstRow="1" w:lastRow="0" w:firstColumn="0" w:lastColumn="0" w:oddVBand="0" w:evenVBand="0" w:oddHBand="0" w:evenHBand="0" w:firstRowFirstColumn="0" w:firstRowLastColumn="0" w:lastRowFirstColumn="0" w:lastRowLastColumn="0"/>
                    <w:rPr>
                      <w:i/>
                      <w:iCs/>
                    </w:rPr>
                  </w:pPr>
                </w:p>
              </w:tc>
              <w:tc>
                <w:tcPr>
                  <w:tcW w:w="2268" w:type="dxa"/>
                </w:tcPr>
                <w:p w14:paraId="28A5C597" w14:textId="7D72BA60" w:rsidR="004E20FC" w:rsidRDefault="004E20FC" w:rsidP="004E20F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3A1F05">
                    <w:rPr>
                      <w:i/>
                      <w:iCs/>
                    </w:rPr>
                    <w:t>EFL Level</w:t>
                  </w:r>
                </w:p>
              </w:tc>
              <w:tc>
                <w:tcPr>
                  <w:tcW w:w="0" w:type="auto"/>
                </w:tcPr>
                <w:p w14:paraId="3564E964" w14:textId="77777777" w:rsidR="004E20FC" w:rsidRDefault="004E20FC" w:rsidP="004E20FC">
                  <w:pPr>
                    <w:jc w:val="center"/>
                    <w:cnfStyle w:val="100000000000" w:firstRow="1" w:lastRow="0" w:firstColumn="0" w:lastColumn="0" w:oddVBand="0" w:evenVBand="0" w:oddHBand="0" w:evenHBand="0" w:firstRowFirstColumn="0" w:firstRowLastColumn="0" w:lastRowFirstColumn="0" w:lastRowLastColumn="0"/>
                    <w:rPr>
                      <w:b w:val="0"/>
                      <w:bCs w:val="0"/>
                      <w:i/>
                      <w:iCs/>
                    </w:rPr>
                  </w:pPr>
                  <w:proofErr w:type="spellStart"/>
                  <w:r w:rsidRPr="003A1F05">
                    <w:rPr>
                      <w:i/>
                      <w:iCs/>
                    </w:rPr>
                    <w:t>SubTarget</w:t>
                  </w:r>
                  <w:proofErr w:type="spellEnd"/>
                </w:p>
                <w:p w14:paraId="7A99E853" w14:textId="77777777" w:rsidR="004E20FC" w:rsidRDefault="004E20FC" w:rsidP="004E20F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5721A8" w14:paraId="03BD722A" w14:textId="7B5A662F" w:rsidTr="006F1676">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445" w:type="dxa"/>
                  <w:hideMark/>
                </w:tcPr>
                <w:p w14:paraId="1288ACDB" w14:textId="77777777" w:rsidR="005721A8" w:rsidRPr="003A1F05" w:rsidRDefault="005721A8" w:rsidP="005721A8">
                  <w:pPr>
                    <w:rPr>
                      <w:b w:val="0"/>
                      <w:bCs w:val="0"/>
                    </w:rPr>
                  </w:pPr>
                  <w:r w:rsidRPr="003A1F05">
                    <w:t>ABE1</w:t>
                  </w:r>
                </w:p>
              </w:tc>
              <w:tc>
                <w:tcPr>
                  <w:tcW w:w="1680" w:type="dxa"/>
                  <w:hideMark/>
                </w:tcPr>
                <w:p w14:paraId="205BFB1E" w14:textId="77777777" w:rsidR="005721A8" w:rsidRPr="003A1F05" w:rsidRDefault="005721A8" w:rsidP="005721A8">
                  <w:pPr>
                    <w:jc w:val="center"/>
                    <w:cnfStyle w:val="000000100000" w:firstRow="0" w:lastRow="0" w:firstColumn="0" w:lastColumn="0" w:oddVBand="0" w:evenVBand="0" w:oddHBand="1" w:evenHBand="0" w:firstRowFirstColumn="0" w:firstRowLastColumn="0" w:lastRowFirstColumn="0" w:lastRowLastColumn="0"/>
                  </w:pPr>
                  <w:r w:rsidRPr="003A1F05">
                    <w:t>42.0%</w:t>
                  </w:r>
                </w:p>
              </w:tc>
              <w:tc>
                <w:tcPr>
                  <w:tcW w:w="2268" w:type="dxa"/>
                  <w:shd w:val="clear" w:color="auto" w:fill="123869" w:themeFill="accent1"/>
                </w:tcPr>
                <w:p w14:paraId="560F1681" w14:textId="554672C5" w:rsidR="005721A8" w:rsidRPr="005721A8" w:rsidRDefault="005721A8" w:rsidP="005721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0"/>
                      <w:szCs w:val="20"/>
                    </w:rPr>
                  </w:pPr>
                  <w:r w:rsidRPr="005721A8">
                    <w:rPr>
                      <w:b/>
                      <w:bCs/>
                    </w:rPr>
                    <w:t>ESL1</w:t>
                  </w:r>
                </w:p>
              </w:tc>
              <w:tc>
                <w:tcPr>
                  <w:tcW w:w="0" w:type="auto"/>
                </w:tcPr>
                <w:p w14:paraId="1BDF2F67" w14:textId="4975FC8C" w:rsidR="005721A8" w:rsidRPr="005721A8" w:rsidRDefault="005721A8" w:rsidP="005721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721A8">
                    <w:t>47.0%</w:t>
                  </w:r>
                </w:p>
              </w:tc>
            </w:tr>
            <w:tr w:rsidR="005721A8" w14:paraId="01D94FE6" w14:textId="7B8D0269" w:rsidTr="006F1676">
              <w:trPr>
                <w:trHeight w:val="288"/>
                <w:jc w:val="center"/>
              </w:trPr>
              <w:tc>
                <w:tcPr>
                  <w:cnfStyle w:val="001000000000" w:firstRow="0" w:lastRow="0" w:firstColumn="1" w:lastColumn="0" w:oddVBand="0" w:evenVBand="0" w:oddHBand="0" w:evenHBand="0" w:firstRowFirstColumn="0" w:firstRowLastColumn="0" w:lastRowFirstColumn="0" w:lastRowLastColumn="0"/>
                  <w:tcW w:w="2445" w:type="dxa"/>
                  <w:hideMark/>
                </w:tcPr>
                <w:p w14:paraId="15D15495" w14:textId="77777777" w:rsidR="005721A8" w:rsidRPr="003A1F05" w:rsidRDefault="005721A8" w:rsidP="005721A8">
                  <w:r w:rsidRPr="003A1F05">
                    <w:t>ABE2</w:t>
                  </w:r>
                </w:p>
              </w:tc>
              <w:tc>
                <w:tcPr>
                  <w:tcW w:w="1680" w:type="dxa"/>
                  <w:hideMark/>
                </w:tcPr>
                <w:p w14:paraId="1AA688C3" w14:textId="77777777" w:rsidR="005721A8" w:rsidRPr="003A1F05" w:rsidRDefault="005721A8" w:rsidP="005721A8">
                  <w:pPr>
                    <w:jc w:val="center"/>
                    <w:cnfStyle w:val="000000000000" w:firstRow="0" w:lastRow="0" w:firstColumn="0" w:lastColumn="0" w:oddVBand="0" w:evenVBand="0" w:oddHBand="0" w:evenHBand="0" w:firstRowFirstColumn="0" w:firstRowLastColumn="0" w:lastRowFirstColumn="0" w:lastRowLastColumn="0"/>
                  </w:pPr>
                  <w:r w:rsidRPr="003A1F05">
                    <w:t>42.0%</w:t>
                  </w:r>
                </w:p>
              </w:tc>
              <w:tc>
                <w:tcPr>
                  <w:tcW w:w="2268" w:type="dxa"/>
                  <w:shd w:val="clear" w:color="auto" w:fill="123869" w:themeFill="accent1"/>
                </w:tcPr>
                <w:p w14:paraId="6BA282EF" w14:textId="474DF392" w:rsidR="005721A8" w:rsidRPr="005721A8" w:rsidRDefault="005721A8" w:rsidP="005721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FFFF" w:themeColor="background1"/>
                      <w:sz w:val="20"/>
                      <w:szCs w:val="20"/>
                    </w:rPr>
                  </w:pPr>
                  <w:r w:rsidRPr="005721A8">
                    <w:rPr>
                      <w:b/>
                      <w:bCs/>
                    </w:rPr>
                    <w:t>ESL2</w:t>
                  </w:r>
                </w:p>
              </w:tc>
              <w:tc>
                <w:tcPr>
                  <w:tcW w:w="0" w:type="auto"/>
                </w:tcPr>
                <w:p w14:paraId="5485F05A" w14:textId="75F9EFC6" w:rsidR="005721A8" w:rsidRPr="005721A8" w:rsidRDefault="005721A8" w:rsidP="005721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721A8">
                    <w:t>49.0%</w:t>
                  </w:r>
                </w:p>
              </w:tc>
            </w:tr>
            <w:tr w:rsidR="005721A8" w14:paraId="3177C437" w14:textId="7854CC71" w:rsidTr="006F167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445" w:type="dxa"/>
                  <w:hideMark/>
                </w:tcPr>
                <w:p w14:paraId="08DAE0BB" w14:textId="5FC5076D" w:rsidR="005721A8" w:rsidRPr="003A1F05" w:rsidRDefault="005721A8" w:rsidP="005721A8">
                  <w:r w:rsidRPr="003A1F05">
                    <w:t>ABE3</w:t>
                  </w:r>
                </w:p>
              </w:tc>
              <w:tc>
                <w:tcPr>
                  <w:tcW w:w="1680" w:type="dxa"/>
                  <w:hideMark/>
                </w:tcPr>
                <w:p w14:paraId="4FEC25ED" w14:textId="77777777" w:rsidR="005721A8" w:rsidRPr="003A1F05" w:rsidRDefault="005721A8" w:rsidP="005721A8">
                  <w:pPr>
                    <w:jc w:val="center"/>
                    <w:cnfStyle w:val="000000100000" w:firstRow="0" w:lastRow="0" w:firstColumn="0" w:lastColumn="0" w:oddVBand="0" w:evenVBand="0" w:oddHBand="1" w:evenHBand="0" w:firstRowFirstColumn="0" w:firstRowLastColumn="0" w:lastRowFirstColumn="0" w:lastRowLastColumn="0"/>
                  </w:pPr>
                  <w:r w:rsidRPr="003A1F05">
                    <w:t>43.0%</w:t>
                  </w:r>
                </w:p>
              </w:tc>
              <w:tc>
                <w:tcPr>
                  <w:tcW w:w="2268" w:type="dxa"/>
                  <w:shd w:val="clear" w:color="auto" w:fill="123869" w:themeFill="accent1"/>
                </w:tcPr>
                <w:p w14:paraId="6833F140" w14:textId="47E0E07B" w:rsidR="005721A8" w:rsidRPr="005721A8" w:rsidRDefault="005721A8" w:rsidP="005721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0"/>
                      <w:szCs w:val="20"/>
                    </w:rPr>
                  </w:pPr>
                  <w:r w:rsidRPr="005721A8">
                    <w:rPr>
                      <w:b/>
                      <w:bCs/>
                    </w:rPr>
                    <w:t>ESL3</w:t>
                  </w:r>
                </w:p>
              </w:tc>
              <w:tc>
                <w:tcPr>
                  <w:tcW w:w="0" w:type="auto"/>
                </w:tcPr>
                <w:p w14:paraId="2BBB1B2A" w14:textId="2CA2AAEF" w:rsidR="005721A8" w:rsidRPr="005721A8" w:rsidRDefault="005721A8" w:rsidP="005721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721A8">
                    <w:t>48.0%</w:t>
                  </w:r>
                </w:p>
              </w:tc>
            </w:tr>
            <w:tr w:rsidR="005721A8" w14:paraId="659B078E" w14:textId="47F4B8B9" w:rsidTr="006F1676">
              <w:trPr>
                <w:trHeight w:val="288"/>
                <w:jc w:val="center"/>
              </w:trPr>
              <w:tc>
                <w:tcPr>
                  <w:cnfStyle w:val="001000000000" w:firstRow="0" w:lastRow="0" w:firstColumn="1" w:lastColumn="0" w:oddVBand="0" w:evenVBand="0" w:oddHBand="0" w:evenHBand="0" w:firstRowFirstColumn="0" w:firstRowLastColumn="0" w:lastRowFirstColumn="0" w:lastRowLastColumn="0"/>
                  <w:tcW w:w="2445" w:type="dxa"/>
                  <w:hideMark/>
                </w:tcPr>
                <w:p w14:paraId="5AAF3557" w14:textId="77777777" w:rsidR="005721A8" w:rsidRPr="003A1F05" w:rsidRDefault="005721A8" w:rsidP="005721A8">
                  <w:r w:rsidRPr="003A1F05">
                    <w:t>ABE4</w:t>
                  </w:r>
                </w:p>
              </w:tc>
              <w:tc>
                <w:tcPr>
                  <w:tcW w:w="1680" w:type="dxa"/>
                  <w:hideMark/>
                </w:tcPr>
                <w:p w14:paraId="0E9E2FC3" w14:textId="77777777" w:rsidR="005721A8" w:rsidRPr="003A1F05" w:rsidRDefault="005721A8" w:rsidP="005721A8">
                  <w:pPr>
                    <w:jc w:val="center"/>
                    <w:cnfStyle w:val="000000000000" w:firstRow="0" w:lastRow="0" w:firstColumn="0" w:lastColumn="0" w:oddVBand="0" w:evenVBand="0" w:oddHBand="0" w:evenHBand="0" w:firstRowFirstColumn="0" w:firstRowLastColumn="0" w:lastRowFirstColumn="0" w:lastRowLastColumn="0"/>
                  </w:pPr>
                  <w:r w:rsidRPr="003A1F05">
                    <w:t>44.0%</w:t>
                  </w:r>
                </w:p>
              </w:tc>
              <w:tc>
                <w:tcPr>
                  <w:tcW w:w="2268" w:type="dxa"/>
                  <w:shd w:val="clear" w:color="auto" w:fill="123869" w:themeFill="accent1"/>
                </w:tcPr>
                <w:p w14:paraId="125F6BA6" w14:textId="2CB9F968" w:rsidR="005721A8" w:rsidRPr="005721A8" w:rsidRDefault="005721A8" w:rsidP="005721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FFFF" w:themeColor="background1"/>
                      <w:sz w:val="20"/>
                      <w:szCs w:val="20"/>
                    </w:rPr>
                  </w:pPr>
                  <w:r w:rsidRPr="005721A8">
                    <w:rPr>
                      <w:b/>
                      <w:bCs/>
                    </w:rPr>
                    <w:t>ESL4</w:t>
                  </w:r>
                </w:p>
              </w:tc>
              <w:tc>
                <w:tcPr>
                  <w:tcW w:w="0" w:type="auto"/>
                </w:tcPr>
                <w:p w14:paraId="71B17BFE" w14:textId="5E597E9B" w:rsidR="005721A8" w:rsidRPr="005721A8" w:rsidRDefault="005721A8" w:rsidP="005721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721A8">
                    <w:t>48.0%</w:t>
                  </w:r>
                </w:p>
              </w:tc>
            </w:tr>
            <w:tr w:rsidR="005721A8" w14:paraId="1038F67D" w14:textId="40D62251" w:rsidTr="006F1676">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445" w:type="dxa"/>
                  <w:hideMark/>
                </w:tcPr>
                <w:p w14:paraId="077DC9E0" w14:textId="77777777" w:rsidR="005721A8" w:rsidRPr="003A1F05" w:rsidRDefault="005721A8" w:rsidP="005721A8">
                  <w:r w:rsidRPr="003A1F05">
                    <w:t>ABE5</w:t>
                  </w:r>
                </w:p>
              </w:tc>
              <w:tc>
                <w:tcPr>
                  <w:tcW w:w="1680" w:type="dxa"/>
                  <w:hideMark/>
                </w:tcPr>
                <w:p w14:paraId="7FB65071" w14:textId="77777777" w:rsidR="005721A8" w:rsidRPr="003A1F05" w:rsidRDefault="005721A8" w:rsidP="005721A8">
                  <w:pPr>
                    <w:jc w:val="center"/>
                    <w:cnfStyle w:val="000000100000" w:firstRow="0" w:lastRow="0" w:firstColumn="0" w:lastColumn="0" w:oddVBand="0" w:evenVBand="0" w:oddHBand="1" w:evenHBand="0" w:firstRowFirstColumn="0" w:firstRowLastColumn="0" w:lastRowFirstColumn="0" w:lastRowLastColumn="0"/>
                  </w:pPr>
                  <w:r w:rsidRPr="003A1F05">
                    <w:t>44.0%</w:t>
                  </w:r>
                </w:p>
              </w:tc>
              <w:tc>
                <w:tcPr>
                  <w:tcW w:w="2268" w:type="dxa"/>
                  <w:shd w:val="clear" w:color="auto" w:fill="123869" w:themeFill="accent1"/>
                </w:tcPr>
                <w:p w14:paraId="71EF6041" w14:textId="7C192255" w:rsidR="005721A8" w:rsidRPr="005721A8" w:rsidRDefault="005721A8" w:rsidP="005721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FFFFFF" w:themeColor="background1"/>
                      <w:sz w:val="20"/>
                      <w:szCs w:val="20"/>
                    </w:rPr>
                  </w:pPr>
                  <w:r w:rsidRPr="005721A8">
                    <w:rPr>
                      <w:b/>
                      <w:bCs/>
                    </w:rPr>
                    <w:t>ESL5</w:t>
                  </w:r>
                </w:p>
              </w:tc>
              <w:tc>
                <w:tcPr>
                  <w:tcW w:w="0" w:type="auto"/>
                </w:tcPr>
                <w:p w14:paraId="074C8DDC" w14:textId="21D18C6E" w:rsidR="005721A8" w:rsidRPr="005721A8" w:rsidRDefault="005721A8" w:rsidP="005721A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5721A8">
                    <w:t>43.0%</w:t>
                  </w:r>
                </w:p>
              </w:tc>
            </w:tr>
            <w:tr w:rsidR="005721A8" w14:paraId="77F42C13" w14:textId="5348B146" w:rsidTr="006F1676">
              <w:trPr>
                <w:trHeight w:val="288"/>
                <w:jc w:val="center"/>
              </w:trPr>
              <w:tc>
                <w:tcPr>
                  <w:cnfStyle w:val="001000000000" w:firstRow="0" w:lastRow="0" w:firstColumn="1" w:lastColumn="0" w:oddVBand="0" w:evenVBand="0" w:oddHBand="0" w:evenHBand="0" w:firstRowFirstColumn="0" w:firstRowLastColumn="0" w:lastRowFirstColumn="0" w:lastRowLastColumn="0"/>
                  <w:tcW w:w="2445" w:type="dxa"/>
                  <w:hideMark/>
                </w:tcPr>
                <w:p w14:paraId="7454E190" w14:textId="77777777" w:rsidR="005721A8" w:rsidRPr="003A1F05" w:rsidRDefault="005721A8" w:rsidP="005721A8">
                  <w:r w:rsidRPr="003A1F05">
                    <w:t>ABE6</w:t>
                  </w:r>
                </w:p>
              </w:tc>
              <w:tc>
                <w:tcPr>
                  <w:tcW w:w="1680" w:type="dxa"/>
                  <w:hideMark/>
                </w:tcPr>
                <w:p w14:paraId="775E4E71" w14:textId="77777777" w:rsidR="005721A8" w:rsidRPr="003A1F05" w:rsidRDefault="005721A8" w:rsidP="005721A8">
                  <w:pPr>
                    <w:jc w:val="center"/>
                    <w:cnfStyle w:val="000000000000" w:firstRow="0" w:lastRow="0" w:firstColumn="0" w:lastColumn="0" w:oddVBand="0" w:evenVBand="0" w:oddHBand="0" w:evenHBand="0" w:firstRowFirstColumn="0" w:firstRowLastColumn="0" w:lastRowFirstColumn="0" w:lastRowLastColumn="0"/>
                  </w:pPr>
                  <w:r w:rsidRPr="003A1F05">
                    <w:t>42.0%</w:t>
                  </w:r>
                </w:p>
              </w:tc>
              <w:tc>
                <w:tcPr>
                  <w:tcW w:w="2268" w:type="dxa"/>
                  <w:shd w:val="clear" w:color="auto" w:fill="123869" w:themeFill="accent1"/>
                </w:tcPr>
                <w:p w14:paraId="26C5AC23" w14:textId="00E7CA1A" w:rsidR="005721A8" w:rsidRPr="005721A8" w:rsidRDefault="005721A8" w:rsidP="005721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FFFF" w:themeColor="background1"/>
                      <w:sz w:val="20"/>
                      <w:szCs w:val="20"/>
                    </w:rPr>
                  </w:pPr>
                  <w:r w:rsidRPr="005721A8">
                    <w:rPr>
                      <w:b/>
                      <w:bCs/>
                    </w:rPr>
                    <w:t>ESL6</w:t>
                  </w:r>
                </w:p>
              </w:tc>
              <w:tc>
                <w:tcPr>
                  <w:tcW w:w="0" w:type="auto"/>
                </w:tcPr>
                <w:p w14:paraId="08698F2A" w14:textId="74B2ECB6" w:rsidR="005721A8" w:rsidRPr="005721A8" w:rsidRDefault="005721A8" w:rsidP="005721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5721A8">
                    <w:t>43.0%</w:t>
                  </w:r>
                </w:p>
              </w:tc>
            </w:tr>
          </w:tbl>
          <w:p w14:paraId="69344730" w14:textId="323E7059" w:rsidR="005721A8" w:rsidRPr="00DE1DCF" w:rsidRDefault="005721A8" w:rsidP="0038511D">
            <w:pPr>
              <w:rPr>
                <w:sz w:val="26"/>
                <w:szCs w:val="26"/>
              </w:rPr>
            </w:pPr>
          </w:p>
        </w:tc>
        <w:tc>
          <w:tcPr>
            <w:tcW w:w="425" w:type="dxa"/>
            <w:shd w:val="clear" w:color="auto" w:fill="ECFBFB" w:themeFill="accent4"/>
          </w:tcPr>
          <w:p w14:paraId="159BF945" w14:textId="77777777" w:rsidR="0031055C" w:rsidRPr="003A798E" w:rsidRDefault="0031055C" w:rsidP="00D6375E"/>
        </w:tc>
      </w:tr>
      <w:tr w:rsidR="0031055C" w:rsidRPr="003A798E" w14:paraId="037DF11B" w14:textId="77777777" w:rsidTr="003A1F05">
        <w:trPr>
          <w:trHeight w:val="3459"/>
        </w:trPr>
        <w:tc>
          <w:tcPr>
            <w:tcW w:w="426" w:type="dxa"/>
            <w:shd w:val="clear" w:color="auto" w:fill="ECFBFB" w:themeFill="accent4"/>
          </w:tcPr>
          <w:p w14:paraId="46CE608F" w14:textId="77777777" w:rsidR="0031055C" w:rsidRPr="003A798E" w:rsidRDefault="0031055C" w:rsidP="00D6375E"/>
        </w:tc>
        <w:tc>
          <w:tcPr>
            <w:tcW w:w="9922" w:type="dxa"/>
            <w:gridSpan w:val="2"/>
            <w:tcBorders>
              <w:top w:val="single" w:sz="18" w:space="0" w:color="00C1C7" w:themeColor="accent2"/>
            </w:tcBorders>
            <w:shd w:val="clear" w:color="auto" w:fill="ECFBFB" w:themeFill="accent4"/>
            <w:vAlign w:val="center"/>
          </w:tcPr>
          <w:p w14:paraId="740D5393" w14:textId="1C280516" w:rsidR="005721A8" w:rsidRDefault="00CC1258" w:rsidP="005721A8">
            <w:pPr>
              <w:pStyle w:val="Heading2"/>
              <w:rPr>
                <w:i w:val="0"/>
                <w:iCs/>
              </w:rPr>
            </w:pPr>
            <w:r>
              <w:rPr>
                <w:i w:val="0"/>
                <w:iCs/>
              </w:rPr>
              <w:t>Submission Instructions</w:t>
            </w:r>
          </w:p>
          <w:p w14:paraId="0DCB8632" w14:textId="7EB63F01" w:rsidR="0031055C" w:rsidRPr="005721A8" w:rsidRDefault="005721A8" w:rsidP="005721A8">
            <w:pPr>
              <w:pStyle w:val="Text"/>
              <w:rPr>
                <w:i w:val="0"/>
                <w:iCs/>
              </w:rPr>
            </w:pPr>
            <w:r>
              <w:br/>
            </w:r>
            <w:r w:rsidRPr="005721A8">
              <w:rPr>
                <w:i w:val="0"/>
                <w:iCs/>
                <w:sz w:val="26"/>
                <w:szCs w:val="26"/>
              </w:rPr>
              <w:t>Send the completed tool by email to your AEL program specialist</w:t>
            </w:r>
            <w:r w:rsidR="00D64502">
              <w:rPr>
                <w:i w:val="0"/>
                <w:iCs/>
                <w:sz w:val="26"/>
                <w:szCs w:val="26"/>
              </w:rPr>
              <w:t xml:space="preserve"> by </w:t>
            </w:r>
            <w:r w:rsidR="00D64502" w:rsidRPr="00D64502">
              <w:rPr>
                <w:b/>
                <w:bCs/>
                <w:sz w:val="26"/>
                <w:szCs w:val="26"/>
              </w:rPr>
              <w:t>July 10 2023</w:t>
            </w:r>
            <w:r w:rsidRPr="005721A8">
              <w:rPr>
                <w:i w:val="0"/>
                <w:iCs/>
                <w:sz w:val="26"/>
                <w:szCs w:val="26"/>
              </w:rPr>
              <w:t xml:space="preserve">, and also to </w:t>
            </w:r>
            <w:hyperlink r:id="rId11" w:history="1">
              <w:r w:rsidRPr="005721A8">
                <w:rPr>
                  <w:rStyle w:val="Hyperlink"/>
                  <w:i w:val="0"/>
                  <w:iCs/>
                  <w:sz w:val="26"/>
                  <w:szCs w:val="26"/>
                </w:rPr>
                <w:t>Mahalia.Baldini@TWC.texas.gov</w:t>
              </w:r>
            </w:hyperlink>
            <w:r w:rsidRPr="005721A8">
              <w:rPr>
                <w:i w:val="0"/>
                <w:iCs/>
                <w:sz w:val="26"/>
                <w:szCs w:val="26"/>
              </w:rPr>
              <w:t xml:space="preserve">, </w:t>
            </w:r>
            <w:hyperlink r:id="rId12" w:history="1">
              <w:r w:rsidRPr="005721A8">
                <w:rPr>
                  <w:rStyle w:val="Hyperlink"/>
                  <w:i w:val="0"/>
                  <w:iCs/>
                  <w:sz w:val="26"/>
                  <w:szCs w:val="26"/>
                </w:rPr>
                <w:t>Geoffrey.Miller@TWC.texas.gov</w:t>
              </w:r>
            </w:hyperlink>
            <w:r w:rsidRPr="005721A8">
              <w:rPr>
                <w:i w:val="0"/>
                <w:iCs/>
                <w:sz w:val="26"/>
                <w:szCs w:val="26"/>
              </w:rPr>
              <w:t xml:space="preserve">, </w:t>
            </w:r>
            <w:hyperlink r:id="rId13" w:history="1">
              <w:r w:rsidRPr="005721A8">
                <w:rPr>
                  <w:rStyle w:val="Hyperlink"/>
                  <w:i w:val="0"/>
                  <w:iCs/>
                  <w:sz w:val="26"/>
                  <w:szCs w:val="26"/>
                </w:rPr>
                <w:t>Gina.Thurman@TWC.texas.gov</w:t>
              </w:r>
            </w:hyperlink>
            <w:r w:rsidRPr="005721A8">
              <w:rPr>
                <w:i w:val="0"/>
                <w:iCs/>
                <w:sz w:val="26"/>
                <w:szCs w:val="26"/>
              </w:rPr>
              <w:t xml:space="preserve">, </w:t>
            </w:r>
            <w:hyperlink r:id="rId14" w:history="1">
              <w:r w:rsidRPr="005721A8">
                <w:rPr>
                  <w:rStyle w:val="Hyperlink"/>
                  <w:i w:val="0"/>
                  <w:iCs/>
                  <w:sz w:val="26"/>
                  <w:szCs w:val="26"/>
                </w:rPr>
                <w:t>Eduardo.Gonzalez@TWC.texas.gov</w:t>
              </w:r>
            </w:hyperlink>
            <w:r w:rsidRPr="005721A8">
              <w:rPr>
                <w:i w:val="0"/>
                <w:iCs/>
                <w:sz w:val="26"/>
                <w:szCs w:val="26"/>
              </w:rPr>
              <w:t xml:space="preserve">, and </w:t>
            </w:r>
            <w:hyperlink r:id="rId15" w:history="1">
              <w:r w:rsidRPr="005721A8">
                <w:rPr>
                  <w:rStyle w:val="Hyperlink"/>
                  <w:i w:val="0"/>
                  <w:iCs/>
                  <w:sz w:val="26"/>
                  <w:szCs w:val="26"/>
                </w:rPr>
                <w:t>Jackie.Williams@TWC.texas.gov</w:t>
              </w:r>
            </w:hyperlink>
            <w:r w:rsidRPr="005721A8">
              <w:rPr>
                <w:i w:val="0"/>
                <w:iCs/>
                <w:sz w:val="26"/>
                <w:szCs w:val="26"/>
              </w:rPr>
              <w:t>. TWC I|3 staff will work with Mahalia and program leadership to review counterproposals and finalize recommendations.</w:t>
            </w:r>
          </w:p>
        </w:tc>
        <w:tc>
          <w:tcPr>
            <w:tcW w:w="425" w:type="dxa"/>
            <w:shd w:val="clear" w:color="auto" w:fill="ECFBFB" w:themeFill="accent4"/>
          </w:tcPr>
          <w:p w14:paraId="53E7ED0D" w14:textId="77777777" w:rsidR="0031055C" w:rsidRPr="003A798E" w:rsidRDefault="0031055C" w:rsidP="00D6375E"/>
        </w:tc>
      </w:tr>
    </w:tbl>
    <w:p w14:paraId="11974312" w14:textId="77777777" w:rsidR="00A24793" w:rsidRPr="003A798E" w:rsidRDefault="00A24793"/>
    <w:tbl>
      <w:tblPr>
        <w:tblW w:w="10773" w:type="dxa"/>
        <w:shd w:val="clear" w:color="auto" w:fill="00C1C7" w:themeFill="accent2"/>
        <w:tblLayout w:type="fixed"/>
        <w:tblLook w:val="0600" w:firstRow="0" w:lastRow="0" w:firstColumn="0" w:lastColumn="0" w:noHBand="1" w:noVBand="1"/>
      </w:tblPr>
      <w:tblGrid>
        <w:gridCol w:w="993"/>
        <w:gridCol w:w="8788"/>
        <w:gridCol w:w="992"/>
      </w:tblGrid>
      <w:tr w:rsidR="0031055C" w:rsidRPr="003A798E" w14:paraId="32E93AA7" w14:textId="77777777" w:rsidTr="00A24793">
        <w:trPr>
          <w:trHeight w:val="3180"/>
        </w:trPr>
        <w:tc>
          <w:tcPr>
            <w:tcW w:w="993" w:type="dxa"/>
            <w:vMerge w:val="restart"/>
            <w:shd w:val="clear" w:color="auto" w:fill="00C1C7" w:themeFill="accent2"/>
          </w:tcPr>
          <w:p w14:paraId="72F4CE18" w14:textId="77777777" w:rsidR="0031055C" w:rsidRPr="003A798E" w:rsidRDefault="0031055C" w:rsidP="0031055C">
            <w:pPr>
              <w:pStyle w:val="GraphicAnchor"/>
            </w:pPr>
          </w:p>
        </w:tc>
        <w:tc>
          <w:tcPr>
            <w:tcW w:w="8788" w:type="dxa"/>
            <w:tcBorders>
              <w:bottom w:val="single" w:sz="36" w:space="0" w:color="123869" w:themeColor="accent1"/>
            </w:tcBorders>
            <w:shd w:val="clear" w:color="auto" w:fill="00C1C7" w:themeFill="accent2"/>
          </w:tcPr>
          <w:p w14:paraId="349376A4" w14:textId="77777777" w:rsidR="0031055C" w:rsidRPr="003A798E" w:rsidRDefault="0031055C" w:rsidP="0031055C"/>
        </w:tc>
        <w:tc>
          <w:tcPr>
            <w:tcW w:w="992" w:type="dxa"/>
            <w:vMerge w:val="restart"/>
            <w:shd w:val="clear" w:color="auto" w:fill="00C1C7" w:themeFill="accent2"/>
          </w:tcPr>
          <w:p w14:paraId="183B383D" w14:textId="77777777" w:rsidR="0031055C" w:rsidRPr="003A798E" w:rsidRDefault="0031055C" w:rsidP="00D6375E"/>
        </w:tc>
      </w:tr>
      <w:tr w:rsidR="0031055C" w:rsidRPr="003A798E" w14:paraId="5F1A7304" w14:textId="77777777" w:rsidTr="00A24793">
        <w:trPr>
          <w:trHeight w:val="5966"/>
        </w:trPr>
        <w:tc>
          <w:tcPr>
            <w:tcW w:w="993" w:type="dxa"/>
            <w:vMerge/>
            <w:shd w:val="clear" w:color="auto" w:fill="00C1C7" w:themeFill="accent2"/>
          </w:tcPr>
          <w:p w14:paraId="387BDEE0" w14:textId="77777777" w:rsidR="0031055C" w:rsidRPr="003A798E" w:rsidRDefault="0031055C" w:rsidP="00D6375E"/>
        </w:tc>
        <w:tc>
          <w:tcPr>
            <w:tcW w:w="8788" w:type="dxa"/>
            <w:tcBorders>
              <w:top w:val="single" w:sz="36" w:space="0" w:color="123869" w:themeColor="accent1"/>
              <w:bottom w:val="single" w:sz="36" w:space="0" w:color="123869" w:themeColor="accent1"/>
            </w:tcBorders>
            <w:shd w:val="clear" w:color="auto" w:fill="FFFFFF" w:themeFill="background1"/>
            <w:vAlign w:val="center"/>
          </w:tcPr>
          <w:p w14:paraId="4F90ED6B" w14:textId="77777777" w:rsidR="0031055C" w:rsidRDefault="002578F7" w:rsidP="00A24793">
            <w:pPr>
              <w:pStyle w:val="Quote"/>
            </w:pPr>
            <w:r>
              <w:rPr>
                <w:noProof/>
              </w:rPr>
              <w:drawing>
                <wp:inline distT="0" distB="0" distL="0" distR="0" wp14:anchorId="4284EE3B" wp14:editId="0F98C603">
                  <wp:extent cx="1810512" cy="1947672"/>
                  <wp:effectExtent l="0" t="0" r="0" b="0"/>
                  <wp:docPr id="9" name="Picture 9" descr="I|3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3 Division Logo"/>
                          <pic:cNvPicPr/>
                        </pic:nvPicPr>
                        <pic:blipFill>
                          <a:blip r:embed="rId16">
                            <a:extLst>
                              <a:ext uri="{28A0092B-C50C-407E-A947-70E740481C1C}">
                                <a14:useLocalDpi xmlns:a14="http://schemas.microsoft.com/office/drawing/2010/main" val="0"/>
                              </a:ext>
                            </a:extLst>
                          </a:blip>
                          <a:stretch>
                            <a:fillRect/>
                          </a:stretch>
                        </pic:blipFill>
                        <pic:spPr>
                          <a:xfrm>
                            <a:off x="0" y="0"/>
                            <a:ext cx="1810512" cy="1947672"/>
                          </a:xfrm>
                          <a:prstGeom prst="rect">
                            <a:avLst/>
                          </a:prstGeom>
                        </pic:spPr>
                      </pic:pic>
                    </a:graphicData>
                  </a:graphic>
                </wp:inline>
              </w:drawing>
            </w:r>
          </w:p>
          <w:p w14:paraId="0779D7DD" w14:textId="77777777" w:rsidR="00B40344" w:rsidRDefault="00B40344" w:rsidP="00B40344">
            <w:pPr>
              <w:jc w:val="center"/>
            </w:pPr>
          </w:p>
          <w:p w14:paraId="032218C9" w14:textId="089ED06C" w:rsidR="00B40344" w:rsidRPr="00B923D9" w:rsidRDefault="00B40344" w:rsidP="00B40344">
            <w:pPr>
              <w:jc w:val="center"/>
              <w:rPr>
                <w:rFonts w:ascii="Biome" w:hAnsi="Biome" w:cs="Biome"/>
                <w:b/>
                <w:bCs/>
              </w:rPr>
            </w:pPr>
            <w:r w:rsidRPr="00B923D9">
              <w:rPr>
                <w:rFonts w:ascii="Biome" w:hAnsi="Biome" w:cs="Biome"/>
                <w:b/>
                <w:bCs/>
                <w:sz w:val="40"/>
                <w:szCs w:val="40"/>
              </w:rPr>
              <w:t>Y</w:t>
            </w:r>
            <w:r w:rsidR="00B923D9" w:rsidRPr="00B923D9">
              <w:rPr>
                <w:rFonts w:ascii="Biome" w:hAnsi="Biome" w:cs="Biome"/>
                <w:b/>
                <w:bCs/>
                <w:sz w:val="40"/>
                <w:szCs w:val="40"/>
              </w:rPr>
              <w:t>our data STAT</w:t>
            </w:r>
          </w:p>
        </w:tc>
        <w:tc>
          <w:tcPr>
            <w:tcW w:w="992" w:type="dxa"/>
            <w:vMerge/>
            <w:shd w:val="clear" w:color="auto" w:fill="00C1C7" w:themeFill="accent2"/>
          </w:tcPr>
          <w:p w14:paraId="4E1D8F97" w14:textId="77777777" w:rsidR="0031055C" w:rsidRPr="003A798E" w:rsidRDefault="0031055C" w:rsidP="00D6375E"/>
        </w:tc>
      </w:tr>
      <w:tr w:rsidR="0031055C" w:rsidRPr="003A798E" w14:paraId="716A649D" w14:textId="77777777" w:rsidTr="00A24793">
        <w:trPr>
          <w:trHeight w:val="4074"/>
        </w:trPr>
        <w:tc>
          <w:tcPr>
            <w:tcW w:w="993" w:type="dxa"/>
            <w:vMerge/>
            <w:shd w:val="clear" w:color="auto" w:fill="00C1C7" w:themeFill="accent2"/>
          </w:tcPr>
          <w:p w14:paraId="14BB4529" w14:textId="77777777" w:rsidR="0031055C" w:rsidRPr="003A798E" w:rsidRDefault="0031055C" w:rsidP="00D6375E"/>
        </w:tc>
        <w:tc>
          <w:tcPr>
            <w:tcW w:w="8788" w:type="dxa"/>
            <w:tcBorders>
              <w:top w:val="single" w:sz="36" w:space="0" w:color="123869" w:themeColor="accent1"/>
            </w:tcBorders>
            <w:shd w:val="clear" w:color="auto" w:fill="00C1C7" w:themeFill="accent2"/>
          </w:tcPr>
          <w:p w14:paraId="6F58EE2A" w14:textId="77777777" w:rsidR="0031055C" w:rsidRPr="003A798E" w:rsidRDefault="0031055C" w:rsidP="0031055C"/>
        </w:tc>
        <w:tc>
          <w:tcPr>
            <w:tcW w:w="992" w:type="dxa"/>
            <w:vMerge/>
            <w:shd w:val="clear" w:color="auto" w:fill="00C1C7" w:themeFill="accent2"/>
          </w:tcPr>
          <w:p w14:paraId="41B5AAE8" w14:textId="77777777" w:rsidR="0031055C" w:rsidRPr="003A798E" w:rsidRDefault="0031055C" w:rsidP="00D6375E"/>
        </w:tc>
      </w:tr>
    </w:tbl>
    <w:p w14:paraId="19A2CF2D" w14:textId="77777777" w:rsidR="00A81248" w:rsidRPr="003A798E" w:rsidRDefault="00C66528">
      <w:r w:rsidRPr="003A798E">
        <w:rPr>
          <w:noProof/>
          <w:lang w:eastAsia="en-AU"/>
        </w:rPr>
        <mc:AlternateContent>
          <mc:Choice Requires="wps">
            <w:drawing>
              <wp:anchor distT="0" distB="0" distL="114300" distR="114300" simplePos="0" relativeHeight="251661312" behindDoc="1" locked="0" layoutInCell="1" allowOverlap="1" wp14:anchorId="37895347" wp14:editId="2A4CAE26">
                <wp:simplePos x="0" y="0"/>
                <wp:positionH relativeFrom="column">
                  <wp:posOffset>-433705</wp:posOffset>
                </wp:positionH>
                <wp:positionV relativeFrom="paragraph">
                  <wp:posOffset>-8985744</wp:posOffset>
                </wp:positionV>
                <wp:extent cx="7771130" cy="9039860"/>
                <wp:effectExtent l="0" t="0" r="1270" b="8890"/>
                <wp:wrapNone/>
                <wp:docPr id="23" name="Shap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1130" cy="9039860"/>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solidFill>
                        <a:ln w="12700">
                          <a:miter lim="400000"/>
                        </a:ln>
                      </wps:spPr>
                      <wps:bodyPr lIns="38100" tIns="38100" rIns="38100" bIns="38100" anchor="ctr"/>
                    </wps:wsp>
                  </a:graphicData>
                </a:graphic>
              </wp:anchor>
            </w:drawing>
          </mc:Choice>
          <mc:Fallback>
            <w:pict>
              <v:shape w14:anchorId="47ECBD45" id="Shape" o:spid="_x0000_s1026" alt="&quot;&quot;" style="position:absolute;margin-left:-34.15pt;margin-top:-707.55pt;width:611.9pt;height:711.8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" path="m,14678r,6922l21600,3032,21600,,17075,,,14678xe" fillcolor="#123869 [3204]" stroked="f" strokeweight="1pt">
                <v:stroke miterlimit="4" joinstyle="miter"/>
                <v:path arrowok="t" o:extrusionok="f" o:connecttype="custom" o:connectlocs="3885565,4519930;3885565,4519930;3885565,4519930;3885565,4519930" o:connectangles="0,90,180,270"/>
              </v:shape>
            </w:pict>
          </mc:Fallback>
        </mc:AlternateContent>
      </w:r>
    </w:p>
    <w:sectPr w:rsidR="00A81248" w:rsidRPr="003A798E" w:rsidSect="00A24793">
      <w:footerReference w:type="even" r:id="rId17"/>
      <w:footerReference w:type="default" r:id="rId18"/>
      <w:pgSz w:w="12240" w:h="15840" w:code="1"/>
      <w:pgMar w:top="720" w:right="720" w:bottom="1080" w:left="720" w:header="709"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95FDB" w14:textId="77777777" w:rsidR="003E0C73" w:rsidRDefault="003E0C73" w:rsidP="001205A1">
      <w:r>
        <w:separator/>
      </w:r>
    </w:p>
  </w:endnote>
  <w:endnote w:type="continuationSeparator" w:id="0">
    <w:p w14:paraId="09FB41AC" w14:textId="77777777" w:rsidR="003E0C73" w:rsidRDefault="003E0C73" w:rsidP="0012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iome">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7884697"/>
      <w:docPartObj>
        <w:docPartGallery w:val="Page Numbers (Bottom of Page)"/>
        <w:docPartUnique/>
      </w:docPartObj>
    </w:sdtPr>
    <w:sdtContent>
      <w:p w14:paraId="4D0D06E4" w14:textId="77777777" w:rsidR="001205A1" w:rsidRDefault="001205A1" w:rsidP="001739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0740">
          <w:rPr>
            <w:rStyle w:val="PageNumber"/>
            <w:noProof/>
          </w:rPr>
          <w:t>2</w:t>
        </w:r>
        <w:r>
          <w:rPr>
            <w:rStyle w:val="PageNumber"/>
          </w:rPr>
          <w:fldChar w:fldCharType="end"/>
        </w:r>
      </w:p>
    </w:sdtContent>
  </w:sdt>
  <w:p w14:paraId="07CE44E1" w14:textId="77777777" w:rsidR="001205A1" w:rsidRDefault="001205A1" w:rsidP="00120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1358343"/>
      <w:docPartObj>
        <w:docPartGallery w:val="Page Numbers (Bottom of Page)"/>
        <w:docPartUnique/>
      </w:docPartObj>
    </w:sdtPr>
    <w:sdtContent>
      <w:p w14:paraId="038E1792" w14:textId="77777777" w:rsidR="001205A1" w:rsidRDefault="001205A1" w:rsidP="001739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6528">
          <w:rPr>
            <w:rStyle w:val="PageNumber"/>
            <w:noProof/>
          </w:rPr>
          <w:t>4</w:t>
        </w:r>
        <w:r>
          <w:rPr>
            <w:rStyle w:val="PageNumber"/>
          </w:rPr>
          <w:fldChar w:fldCharType="end"/>
        </w:r>
      </w:p>
    </w:sdtContent>
  </w:sdt>
  <w:tbl>
    <w:tblPr>
      <w:tblW w:w="0" w:type="auto"/>
      <w:tblLayout w:type="fixed"/>
      <w:tblCellMar>
        <w:left w:w="0" w:type="dxa"/>
        <w:right w:w="0" w:type="dxa"/>
      </w:tblCellMar>
      <w:tblLook w:val="0600" w:firstRow="0" w:lastRow="0" w:firstColumn="0" w:lastColumn="0" w:noHBand="1" w:noVBand="1"/>
    </w:tblPr>
    <w:tblGrid>
      <w:gridCol w:w="5395"/>
      <w:gridCol w:w="5395"/>
    </w:tblGrid>
    <w:tr w:rsidR="001205A1" w14:paraId="18C1F3BB" w14:textId="77777777" w:rsidTr="005F4F46">
      <w:tc>
        <w:tcPr>
          <w:tcW w:w="5395" w:type="dxa"/>
        </w:tcPr>
        <w:p w14:paraId="7D2AF235" w14:textId="453EF27A" w:rsidR="001205A1" w:rsidRPr="002E1F58" w:rsidRDefault="00E47993" w:rsidP="002E1F58">
          <w:pPr>
            <w:pStyle w:val="Footer"/>
            <w:rPr>
              <w:color w:val="7F7F7F" w:themeColor="text1" w:themeTint="80"/>
            </w:rPr>
          </w:pPr>
          <w:r>
            <w:rPr>
              <w:color w:val="7F7F7F" w:themeColor="text1" w:themeTint="80"/>
            </w:rPr>
            <w:t xml:space="preserve">AEL </w:t>
          </w:r>
          <w:r w:rsidR="002E1F58" w:rsidRPr="002E1F58">
            <w:rPr>
              <w:color w:val="7F7F7F" w:themeColor="text1" w:themeTint="80"/>
            </w:rPr>
            <w:t>Negotiations</w:t>
          </w:r>
          <w:r w:rsidR="002E1F58">
            <w:rPr>
              <w:color w:val="7F7F7F" w:themeColor="text1" w:themeTint="80"/>
            </w:rPr>
            <w:t xml:space="preserve"> </w:t>
          </w:r>
          <w:r w:rsidR="002E1F58" w:rsidRPr="002E1F58">
            <w:rPr>
              <w:color w:val="7F7F7F" w:themeColor="text1" w:themeTint="80"/>
            </w:rPr>
            <w:t>Instructional Guide</w:t>
          </w:r>
        </w:p>
      </w:tc>
      <w:tc>
        <w:tcPr>
          <w:tcW w:w="5395" w:type="dxa"/>
        </w:tcPr>
        <w:p w14:paraId="739AE7F7" w14:textId="77777777" w:rsidR="001205A1" w:rsidRPr="001205A1" w:rsidRDefault="001205A1" w:rsidP="001205A1">
          <w:pPr>
            <w:pStyle w:val="Footer"/>
          </w:pPr>
          <w:r w:rsidRPr="001205A1">
            <w:t xml:space="preserve">   </w:t>
          </w:r>
        </w:p>
      </w:tc>
    </w:tr>
  </w:tbl>
  <w:p w14:paraId="63B0104B" w14:textId="77777777" w:rsidR="001205A1" w:rsidRDefault="00120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4A38" w14:textId="77777777" w:rsidR="003E0C73" w:rsidRDefault="003E0C73" w:rsidP="001205A1">
      <w:r>
        <w:separator/>
      </w:r>
    </w:p>
  </w:footnote>
  <w:footnote w:type="continuationSeparator" w:id="0">
    <w:p w14:paraId="692A5FB8" w14:textId="77777777" w:rsidR="003E0C73" w:rsidRDefault="003E0C73" w:rsidP="00120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19F6"/>
    <w:multiLevelType w:val="hybridMultilevel"/>
    <w:tmpl w:val="303C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B6E93"/>
    <w:multiLevelType w:val="hybridMultilevel"/>
    <w:tmpl w:val="62E2D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F514D"/>
    <w:multiLevelType w:val="hybridMultilevel"/>
    <w:tmpl w:val="85709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308521">
    <w:abstractNumId w:val="0"/>
  </w:num>
  <w:num w:numId="2" w16cid:durableId="75983501">
    <w:abstractNumId w:val="2"/>
  </w:num>
  <w:num w:numId="3" w16cid:durableId="357244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5A"/>
    <w:rsid w:val="00000075"/>
    <w:rsid w:val="00002604"/>
    <w:rsid w:val="00037EA6"/>
    <w:rsid w:val="0006498B"/>
    <w:rsid w:val="000652CB"/>
    <w:rsid w:val="000A20B0"/>
    <w:rsid w:val="000C4ED1"/>
    <w:rsid w:val="000C62A5"/>
    <w:rsid w:val="000D5248"/>
    <w:rsid w:val="000E10B4"/>
    <w:rsid w:val="001205A1"/>
    <w:rsid w:val="00126F39"/>
    <w:rsid w:val="00142538"/>
    <w:rsid w:val="00154D3B"/>
    <w:rsid w:val="0018783A"/>
    <w:rsid w:val="00211A07"/>
    <w:rsid w:val="002578F7"/>
    <w:rsid w:val="002724FD"/>
    <w:rsid w:val="002877E8"/>
    <w:rsid w:val="002D62E8"/>
    <w:rsid w:val="002E0E9C"/>
    <w:rsid w:val="002E1F58"/>
    <w:rsid w:val="002E4F3F"/>
    <w:rsid w:val="002E7C4E"/>
    <w:rsid w:val="003101DE"/>
    <w:rsid w:val="0031055C"/>
    <w:rsid w:val="00310A6D"/>
    <w:rsid w:val="00334E3D"/>
    <w:rsid w:val="00350669"/>
    <w:rsid w:val="00371EE1"/>
    <w:rsid w:val="0038511D"/>
    <w:rsid w:val="00385C6A"/>
    <w:rsid w:val="003A1F05"/>
    <w:rsid w:val="003A798E"/>
    <w:rsid w:val="003B25D2"/>
    <w:rsid w:val="003D60B3"/>
    <w:rsid w:val="003E0C73"/>
    <w:rsid w:val="003F5284"/>
    <w:rsid w:val="00425A99"/>
    <w:rsid w:val="00433E3C"/>
    <w:rsid w:val="004E20FC"/>
    <w:rsid w:val="00537B44"/>
    <w:rsid w:val="005708B3"/>
    <w:rsid w:val="005721A8"/>
    <w:rsid w:val="005C2373"/>
    <w:rsid w:val="005D6F30"/>
    <w:rsid w:val="005E6B25"/>
    <w:rsid w:val="005F4F46"/>
    <w:rsid w:val="005F6D4B"/>
    <w:rsid w:val="00600A8E"/>
    <w:rsid w:val="00611EF4"/>
    <w:rsid w:val="00647C2D"/>
    <w:rsid w:val="006C60E6"/>
    <w:rsid w:val="006C658F"/>
    <w:rsid w:val="006E25D4"/>
    <w:rsid w:val="006F1676"/>
    <w:rsid w:val="006F508F"/>
    <w:rsid w:val="007356CC"/>
    <w:rsid w:val="00775DC5"/>
    <w:rsid w:val="007A5BC0"/>
    <w:rsid w:val="007B0740"/>
    <w:rsid w:val="007C1BAB"/>
    <w:rsid w:val="00805825"/>
    <w:rsid w:val="008C4966"/>
    <w:rsid w:val="008D3B38"/>
    <w:rsid w:val="008E5B5A"/>
    <w:rsid w:val="00945AB3"/>
    <w:rsid w:val="00950302"/>
    <w:rsid w:val="009538E3"/>
    <w:rsid w:val="00963EAD"/>
    <w:rsid w:val="00997AEF"/>
    <w:rsid w:val="00997DBB"/>
    <w:rsid w:val="009A48D0"/>
    <w:rsid w:val="009A4E31"/>
    <w:rsid w:val="009B1F8F"/>
    <w:rsid w:val="009C6907"/>
    <w:rsid w:val="009E2FD8"/>
    <w:rsid w:val="00A10962"/>
    <w:rsid w:val="00A15CF7"/>
    <w:rsid w:val="00A204EE"/>
    <w:rsid w:val="00A24793"/>
    <w:rsid w:val="00A24857"/>
    <w:rsid w:val="00A41D05"/>
    <w:rsid w:val="00A43774"/>
    <w:rsid w:val="00A81248"/>
    <w:rsid w:val="00A86E45"/>
    <w:rsid w:val="00A87BE6"/>
    <w:rsid w:val="00B40344"/>
    <w:rsid w:val="00B923D9"/>
    <w:rsid w:val="00BD7BF3"/>
    <w:rsid w:val="00C325F7"/>
    <w:rsid w:val="00C6139C"/>
    <w:rsid w:val="00C615AB"/>
    <w:rsid w:val="00C66528"/>
    <w:rsid w:val="00C72DF9"/>
    <w:rsid w:val="00C915F0"/>
    <w:rsid w:val="00CB5AA2"/>
    <w:rsid w:val="00CC1258"/>
    <w:rsid w:val="00D12BB1"/>
    <w:rsid w:val="00D208E5"/>
    <w:rsid w:val="00D3199E"/>
    <w:rsid w:val="00D64502"/>
    <w:rsid w:val="00D72F86"/>
    <w:rsid w:val="00DE1DCF"/>
    <w:rsid w:val="00DE3E76"/>
    <w:rsid w:val="00DF12E5"/>
    <w:rsid w:val="00E12B00"/>
    <w:rsid w:val="00E26B0D"/>
    <w:rsid w:val="00E47928"/>
    <w:rsid w:val="00E47993"/>
    <w:rsid w:val="00E64DFE"/>
    <w:rsid w:val="00E8727E"/>
    <w:rsid w:val="00E93EC9"/>
    <w:rsid w:val="00EB22A8"/>
    <w:rsid w:val="00EF3193"/>
    <w:rsid w:val="00FB65B8"/>
    <w:rsid w:val="00FC49AE"/>
    <w:rsid w:val="00FD2FC3"/>
    <w:rsid w:val="00FD770D"/>
    <w:rsid w:val="00FF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41D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FC49AE"/>
  </w:style>
  <w:style w:type="paragraph" w:styleId="Heading1">
    <w:name w:val="heading 1"/>
    <w:basedOn w:val="Normal"/>
    <w:next w:val="Normal"/>
    <w:link w:val="Heading1Char"/>
    <w:qFormat/>
    <w:rsid w:val="00C66528"/>
    <w:pPr>
      <w:keepNext/>
      <w:keepLines/>
      <w:spacing w:before="240"/>
      <w:outlineLvl w:val="0"/>
    </w:pPr>
    <w:rPr>
      <w:rFonts w:asciiTheme="majorHAnsi" w:eastAsiaTheme="majorEastAsia" w:hAnsiTheme="majorHAnsi" w:cstheme="majorBidi"/>
      <w:b/>
      <w:color w:val="123869" w:themeColor="accent1"/>
      <w:sz w:val="80"/>
      <w:szCs w:val="32"/>
    </w:rPr>
  </w:style>
  <w:style w:type="paragraph" w:styleId="Heading2">
    <w:name w:val="heading 2"/>
    <w:basedOn w:val="Normal"/>
    <w:next w:val="Normal"/>
    <w:link w:val="Heading2Char"/>
    <w:uiPriority w:val="1"/>
    <w:qFormat/>
    <w:rsid w:val="006F508F"/>
    <w:pPr>
      <w:keepNext/>
      <w:keepLines/>
      <w:outlineLvl w:val="1"/>
    </w:pPr>
    <w:rPr>
      <w:rFonts w:eastAsiaTheme="majorEastAsia" w:cstheme="majorBidi"/>
      <w:i/>
      <w:color w:val="009095" w:themeColor="accent2" w:themeShade="BF"/>
      <w:sz w:val="42"/>
      <w:szCs w:val="26"/>
    </w:rPr>
  </w:style>
  <w:style w:type="paragraph" w:styleId="Heading3">
    <w:name w:val="heading 3"/>
    <w:basedOn w:val="Normal"/>
    <w:next w:val="Normal"/>
    <w:link w:val="Heading3Char"/>
    <w:uiPriority w:val="2"/>
    <w:qFormat/>
    <w:rsid w:val="00C66528"/>
    <w:pPr>
      <w:keepNext/>
      <w:keepLines/>
      <w:outlineLvl w:val="2"/>
    </w:pPr>
    <w:rPr>
      <w:rFonts w:asciiTheme="majorHAnsi" w:eastAsiaTheme="majorEastAsia" w:hAnsiTheme="majorHAnsi" w:cstheme="majorBidi"/>
      <w:b/>
      <w:color w:val="123869" w:themeColor="accent1"/>
      <w:sz w:val="36"/>
    </w:rPr>
  </w:style>
  <w:style w:type="paragraph" w:styleId="Heading4">
    <w:name w:val="heading 4"/>
    <w:basedOn w:val="Normal"/>
    <w:next w:val="Normal"/>
    <w:link w:val="Heading4Char"/>
    <w:uiPriority w:val="3"/>
    <w:qFormat/>
    <w:rsid w:val="00C66528"/>
    <w:pPr>
      <w:keepNext/>
      <w:keepLines/>
      <w:outlineLvl w:val="3"/>
    </w:pPr>
    <w:rPr>
      <w:rFonts w:eastAsiaTheme="majorEastAsia" w:cstheme="majorBidi"/>
      <w:i/>
      <w:iCs/>
      <w:color w:val="000000" w:themeColor="text1"/>
      <w:sz w:val="32"/>
    </w:rPr>
  </w:style>
  <w:style w:type="paragraph" w:styleId="Heading5">
    <w:name w:val="heading 5"/>
    <w:basedOn w:val="Normal"/>
    <w:next w:val="Normal"/>
    <w:link w:val="Heading5Char"/>
    <w:uiPriority w:val="4"/>
    <w:qFormat/>
    <w:rsid w:val="00C66528"/>
    <w:pPr>
      <w:keepNext/>
      <w:keepLines/>
      <w:spacing w:line="192" w:lineRule="auto"/>
      <w:outlineLvl w:val="4"/>
    </w:pPr>
    <w:rPr>
      <w:rFonts w:asciiTheme="majorHAnsi" w:eastAsiaTheme="majorEastAsia" w:hAnsiTheme="majorHAnsi" w:cstheme="majorBidi"/>
      <w:b/>
      <w:color w:val="123869" w:themeColor="accent1"/>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812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528"/>
    <w:rPr>
      <w:rFonts w:ascii="Times New Roman" w:hAnsi="Times New Roman" w:cs="Times New Roman"/>
      <w:sz w:val="18"/>
      <w:szCs w:val="18"/>
    </w:rPr>
  </w:style>
  <w:style w:type="character" w:customStyle="1" w:styleId="Heading1Char">
    <w:name w:val="Heading 1 Char"/>
    <w:basedOn w:val="DefaultParagraphFont"/>
    <w:link w:val="Heading1"/>
    <w:rsid w:val="00C66528"/>
    <w:rPr>
      <w:rFonts w:asciiTheme="majorHAnsi" w:eastAsiaTheme="majorEastAsia" w:hAnsiTheme="majorHAnsi" w:cstheme="majorBidi"/>
      <w:b/>
      <w:color w:val="123869" w:themeColor="accent1"/>
      <w:sz w:val="80"/>
      <w:szCs w:val="32"/>
    </w:rPr>
  </w:style>
  <w:style w:type="character" w:customStyle="1" w:styleId="Heading2Char">
    <w:name w:val="Heading 2 Char"/>
    <w:basedOn w:val="DefaultParagraphFont"/>
    <w:link w:val="Heading2"/>
    <w:uiPriority w:val="1"/>
    <w:rsid w:val="006F508F"/>
    <w:rPr>
      <w:rFonts w:eastAsiaTheme="majorEastAsia" w:cstheme="majorBidi"/>
      <w:i/>
      <w:color w:val="009095" w:themeColor="accent2" w:themeShade="BF"/>
      <w:sz w:val="42"/>
      <w:szCs w:val="26"/>
    </w:rPr>
  </w:style>
  <w:style w:type="paragraph" w:customStyle="1" w:styleId="GraphicAnchor">
    <w:name w:val="Graphic Anchor"/>
    <w:basedOn w:val="Normal"/>
    <w:uiPriority w:val="7"/>
    <w:qFormat/>
    <w:rsid w:val="00A81248"/>
    <w:rPr>
      <w:sz w:val="10"/>
    </w:rPr>
  </w:style>
  <w:style w:type="character" w:customStyle="1" w:styleId="Heading3Char">
    <w:name w:val="Heading 3 Char"/>
    <w:basedOn w:val="DefaultParagraphFont"/>
    <w:link w:val="Heading3"/>
    <w:uiPriority w:val="2"/>
    <w:rsid w:val="00C66528"/>
    <w:rPr>
      <w:rFonts w:asciiTheme="majorHAnsi" w:eastAsiaTheme="majorEastAsia" w:hAnsiTheme="majorHAnsi" w:cstheme="majorBidi"/>
      <w:b/>
      <w:color w:val="123869" w:themeColor="accent1"/>
      <w:sz w:val="36"/>
    </w:rPr>
  </w:style>
  <w:style w:type="character" w:customStyle="1" w:styleId="Heading4Char">
    <w:name w:val="Heading 4 Char"/>
    <w:basedOn w:val="DefaultParagraphFont"/>
    <w:link w:val="Heading4"/>
    <w:uiPriority w:val="3"/>
    <w:rsid w:val="00C66528"/>
    <w:rPr>
      <w:rFonts w:eastAsiaTheme="majorEastAsia" w:cstheme="majorBidi"/>
      <w:i/>
      <w:iCs/>
      <w:color w:val="000000" w:themeColor="text1"/>
      <w:sz w:val="32"/>
    </w:rPr>
  </w:style>
  <w:style w:type="paragraph" w:customStyle="1" w:styleId="Text">
    <w:name w:val="Text"/>
    <w:basedOn w:val="Normal"/>
    <w:uiPriority w:val="5"/>
    <w:qFormat/>
    <w:rsid w:val="00C66528"/>
    <w:rPr>
      <w:i/>
      <w:color w:val="000000" w:themeColor="text1"/>
      <w:sz w:val="28"/>
    </w:rPr>
  </w:style>
  <w:style w:type="paragraph" w:styleId="Header">
    <w:name w:val="header"/>
    <w:basedOn w:val="Normal"/>
    <w:link w:val="HeaderChar"/>
    <w:uiPriority w:val="99"/>
    <w:rsid w:val="00C66528"/>
    <w:pPr>
      <w:tabs>
        <w:tab w:val="center" w:pos="4680"/>
        <w:tab w:val="right" w:pos="9360"/>
      </w:tabs>
    </w:pPr>
  </w:style>
  <w:style w:type="character" w:customStyle="1" w:styleId="HeaderChar">
    <w:name w:val="Header Char"/>
    <w:basedOn w:val="DefaultParagraphFont"/>
    <w:link w:val="Header"/>
    <w:uiPriority w:val="99"/>
    <w:rsid w:val="00C66528"/>
  </w:style>
  <w:style w:type="paragraph" w:styleId="Footer">
    <w:name w:val="footer"/>
    <w:basedOn w:val="Normal"/>
    <w:link w:val="FooterChar"/>
    <w:uiPriority w:val="99"/>
    <w:rsid w:val="006F508F"/>
    <w:pPr>
      <w:tabs>
        <w:tab w:val="center" w:pos="4680"/>
        <w:tab w:val="right" w:pos="9360"/>
      </w:tabs>
    </w:pPr>
    <w:rPr>
      <w:rFonts w:asciiTheme="majorHAnsi" w:hAnsiTheme="majorHAnsi"/>
      <w:color w:val="595959" w:themeColor="text1" w:themeTint="A6"/>
      <w:sz w:val="20"/>
    </w:rPr>
  </w:style>
  <w:style w:type="character" w:customStyle="1" w:styleId="FooterChar">
    <w:name w:val="Footer Char"/>
    <w:basedOn w:val="DefaultParagraphFont"/>
    <w:link w:val="Footer"/>
    <w:uiPriority w:val="99"/>
    <w:rsid w:val="006F508F"/>
    <w:rPr>
      <w:rFonts w:asciiTheme="majorHAnsi" w:hAnsiTheme="majorHAnsi"/>
      <w:color w:val="595959" w:themeColor="text1" w:themeTint="A6"/>
      <w:sz w:val="20"/>
    </w:rPr>
  </w:style>
  <w:style w:type="character" w:styleId="PageNumber">
    <w:name w:val="page number"/>
    <w:basedOn w:val="DefaultParagraphFont"/>
    <w:uiPriority w:val="99"/>
    <w:semiHidden/>
    <w:rsid w:val="001205A1"/>
  </w:style>
  <w:style w:type="character" w:customStyle="1" w:styleId="Heading5Char">
    <w:name w:val="Heading 5 Char"/>
    <w:basedOn w:val="DefaultParagraphFont"/>
    <w:link w:val="Heading5"/>
    <w:uiPriority w:val="4"/>
    <w:rsid w:val="00C66528"/>
    <w:rPr>
      <w:rFonts w:asciiTheme="majorHAnsi" w:eastAsiaTheme="majorEastAsia" w:hAnsiTheme="majorHAnsi" w:cstheme="majorBidi"/>
      <w:b/>
      <w:color w:val="123869" w:themeColor="accent1"/>
      <w:sz w:val="76"/>
    </w:rPr>
  </w:style>
  <w:style w:type="character" w:styleId="PlaceholderText">
    <w:name w:val="Placeholder Text"/>
    <w:basedOn w:val="DefaultParagraphFont"/>
    <w:uiPriority w:val="99"/>
    <w:semiHidden/>
    <w:rsid w:val="00C66528"/>
    <w:rPr>
      <w:color w:val="808080"/>
    </w:rPr>
  </w:style>
  <w:style w:type="character" w:styleId="Emphasis">
    <w:name w:val="Emphasis"/>
    <w:basedOn w:val="DefaultParagraphFont"/>
    <w:uiPriority w:val="20"/>
    <w:qFormat/>
    <w:rsid w:val="006F508F"/>
    <w:rPr>
      <w:i w:val="0"/>
      <w:iCs/>
      <w:color w:val="009095" w:themeColor="accent2" w:themeShade="BF"/>
    </w:rPr>
  </w:style>
  <w:style w:type="paragraph" w:styleId="Quote">
    <w:name w:val="Quote"/>
    <w:basedOn w:val="Normal"/>
    <w:next w:val="Normal"/>
    <w:link w:val="QuoteChar"/>
    <w:uiPriority w:val="29"/>
    <w:qFormat/>
    <w:rsid w:val="00FC49AE"/>
    <w:pPr>
      <w:spacing w:line="192" w:lineRule="auto"/>
      <w:jc w:val="center"/>
    </w:pPr>
    <w:rPr>
      <w:rFonts w:asciiTheme="majorHAnsi" w:hAnsiTheme="majorHAnsi"/>
      <w:iCs/>
      <w:color w:val="123869" w:themeColor="accent1"/>
      <w:sz w:val="76"/>
    </w:rPr>
  </w:style>
  <w:style w:type="character" w:customStyle="1" w:styleId="QuoteChar">
    <w:name w:val="Quote Char"/>
    <w:basedOn w:val="DefaultParagraphFont"/>
    <w:link w:val="Quote"/>
    <w:uiPriority w:val="29"/>
    <w:rsid w:val="00FC49AE"/>
    <w:rPr>
      <w:rFonts w:asciiTheme="majorHAnsi" w:hAnsiTheme="majorHAnsi"/>
      <w:iCs/>
      <w:color w:val="123869" w:themeColor="accent1"/>
      <w:sz w:val="76"/>
    </w:rPr>
  </w:style>
  <w:style w:type="paragraph" w:styleId="ListParagraph">
    <w:name w:val="List Paragraph"/>
    <w:basedOn w:val="Normal"/>
    <w:uiPriority w:val="34"/>
    <w:semiHidden/>
    <w:qFormat/>
    <w:rsid w:val="00002604"/>
    <w:pPr>
      <w:ind w:left="720"/>
      <w:contextualSpacing/>
    </w:pPr>
  </w:style>
  <w:style w:type="character" w:styleId="Hyperlink">
    <w:name w:val="Hyperlink"/>
    <w:basedOn w:val="DefaultParagraphFont"/>
    <w:uiPriority w:val="99"/>
    <w:semiHidden/>
    <w:rsid w:val="00E64DFE"/>
    <w:rPr>
      <w:color w:val="0000FF" w:themeColor="hyperlink"/>
      <w:u w:val="single"/>
    </w:rPr>
  </w:style>
  <w:style w:type="character" w:styleId="UnresolvedMention">
    <w:name w:val="Unresolved Mention"/>
    <w:basedOn w:val="DefaultParagraphFont"/>
    <w:uiPriority w:val="99"/>
    <w:semiHidden/>
    <w:unhideWhenUsed/>
    <w:rsid w:val="00E64DFE"/>
    <w:rPr>
      <w:color w:val="605E5C"/>
      <w:shd w:val="clear" w:color="auto" w:fill="E1DFDD"/>
    </w:rPr>
  </w:style>
  <w:style w:type="table" w:styleId="GridTable4-Accent1">
    <w:name w:val="Grid Table 4 Accent 1"/>
    <w:basedOn w:val="TableNormal"/>
    <w:uiPriority w:val="49"/>
    <w:rsid w:val="007A5BC0"/>
    <w:tblPr>
      <w:tblStyleRowBandSize w:val="1"/>
      <w:tblStyleColBandSize w:val="1"/>
      <w:tblBorders>
        <w:top w:val="single" w:sz="4" w:space="0" w:color="3880DD" w:themeColor="accent1" w:themeTint="99"/>
        <w:left w:val="single" w:sz="4" w:space="0" w:color="3880DD" w:themeColor="accent1" w:themeTint="99"/>
        <w:bottom w:val="single" w:sz="4" w:space="0" w:color="3880DD" w:themeColor="accent1" w:themeTint="99"/>
        <w:right w:val="single" w:sz="4" w:space="0" w:color="3880DD" w:themeColor="accent1" w:themeTint="99"/>
        <w:insideH w:val="single" w:sz="4" w:space="0" w:color="3880DD" w:themeColor="accent1" w:themeTint="99"/>
        <w:insideV w:val="single" w:sz="4" w:space="0" w:color="3880DD" w:themeColor="accent1" w:themeTint="99"/>
      </w:tblBorders>
    </w:tblPr>
    <w:tblStylePr w:type="firstRow">
      <w:rPr>
        <w:b/>
        <w:bCs/>
        <w:color w:val="FFFFFF" w:themeColor="background1"/>
      </w:rPr>
      <w:tblPr/>
      <w:tcPr>
        <w:tcBorders>
          <w:top w:val="single" w:sz="4" w:space="0" w:color="123869" w:themeColor="accent1"/>
          <w:left w:val="single" w:sz="4" w:space="0" w:color="123869" w:themeColor="accent1"/>
          <w:bottom w:val="single" w:sz="4" w:space="0" w:color="123869" w:themeColor="accent1"/>
          <w:right w:val="single" w:sz="4" w:space="0" w:color="123869" w:themeColor="accent1"/>
          <w:insideH w:val="nil"/>
          <w:insideV w:val="nil"/>
        </w:tcBorders>
        <w:shd w:val="clear" w:color="auto" w:fill="123869" w:themeFill="accent1"/>
      </w:tcPr>
    </w:tblStylePr>
    <w:tblStylePr w:type="lastRow">
      <w:rPr>
        <w:b/>
        <w:bCs/>
      </w:rPr>
      <w:tblPr/>
      <w:tcPr>
        <w:tcBorders>
          <w:top w:val="double" w:sz="4" w:space="0" w:color="123869" w:themeColor="accent1"/>
        </w:tcBorders>
      </w:tcPr>
    </w:tblStylePr>
    <w:tblStylePr w:type="firstCol">
      <w:rPr>
        <w:b/>
        <w:bCs/>
      </w:rPr>
    </w:tblStylePr>
    <w:tblStylePr w:type="lastCol">
      <w:rPr>
        <w:b/>
        <w:bCs/>
      </w:rPr>
    </w:tblStylePr>
    <w:tblStylePr w:type="band1Vert">
      <w:tblPr/>
      <w:tcPr>
        <w:shd w:val="clear" w:color="auto" w:fill="BCD4F3" w:themeFill="accent1" w:themeFillTint="33"/>
      </w:tcPr>
    </w:tblStylePr>
    <w:tblStylePr w:type="band1Horz">
      <w:tblPr/>
      <w:tcPr>
        <w:shd w:val="clear" w:color="auto" w:fill="BCD4F3" w:themeFill="accent1" w:themeFillTint="33"/>
      </w:tcPr>
    </w:tblStylePr>
  </w:style>
  <w:style w:type="table" w:styleId="GridTable4-Accent2">
    <w:name w:val="Grid Table 4 Accent 2"/>
    <w:basedOn w:val="TableNormal"/>
    <w:uiPriority w:val="49"/>
    <w:rsid w:val="007A5BC0"/>
    <w:tblPr>
      <w:tblStyleRowBandSize w:val="1"/>
      <w:tblStyleColBandSize w:val="1"/>
      <w:tblBorders>
        <w:top w:val="single" w:sz="4" w:space="0" w:color="44F9FF" w:themeColor="accent2" w:themeTint="99"/>
        <w:left w:val="single" w:sz="4" w:space="0" w:color="44F9FF" w:themeColor="accent2" w:themeTint="99"/>
        <w:bottom w:val="single" w:sz="4" w:space="0" w:color="44F9FF" w:themeColor="accent2" w:themeTint="99"/>
        <w:right w:val="single" w:sz="4" w:space="0" w:color="44F9FF" w:themeColor="accent2" w:themeTint="99"/>
        <w:insideH w:val="single" w:sz="4" w:space="0" w:color="44F9FF" w:themeColor="accent2" w:themeTint="99"/>
        <w:insideV w:val="single" w:sz="4" w:space="0" w:color="44F9FF" w:themeColor="accent2" w:themeTint="99"/>
      </w:tblBorders>
    </w:tblPr>
    <w:tblStylePr w:type="firstRow">
      <w:rPr>
        <w:b/>
        <w:bCs/>
        <w:color w:val="FFFFFF" w:themeColor="background1"/>
      </w:rPr>
      <w:tblPr/>
      <w:tcPr>
        <w:tcBorders>
          <w:top w:val="single" w:sz="4" w:space="0" w:color="00C1C7" w:themeColor="accent2"/>
          <w:left w:val="single" w:sz="4" w:space="0" w:color="00C1C7" w:themeColor="accent2"/>
          <w:bottom w:val="single" w:sz="4" w:space="0" w:color="00C1C7" w:themeColor="accent2"/>
          <w:right w:val="single" w:sz="4" w:space="0" w:color="00C1C7" w:themeColor="accent2"/>
          <w:insideH w:val="nil"/>
          <w:insideV w:val="nil"/>
        </w:tcBorders>
        <w:shd w:val="clear" w:color="auto" w:fill="00C1C7" w:themeFill="accent2"/>
      </w:tcPr>
    </w:tblStylePr>
    <w:tblStylePr w:type="lastRow">
      <w:rPr>
        <w:b/>
        <w:bCs/>
      </w:rPr>
      <w:tblPr/>
      <w:tcPr>
        <w:tcBorders>
          <w:top w:val="double" w:sz="4" w:space="0" w:color="00C1C7" w:themeColor="accent2"/>
        </w:tcBorders>
      </w:tcPr>
    </w:tblStylePr>
    <w:tblStylePr w:type="firstCol">
      <w:rPr>
        <w:b/>
        <w:bCs/>
      </w:rPr>
    </w:tblStylePr>
    <w:tblStylePr w:type="lastCol">
      <w:rPr>
        <w:b/>
        <w:bCs/>
      </w:rPr>
    </w:tblStylePr>
    <w:tblStylePr w:type="band1Vert">
      <w:tblPr/>
      <w:tcPr>
        <w:shd w:val="clear" w:color="auto" w:fill="C0FDFF" w:themeFill="accent2" w:themeFillTint="33"/>
      </w:tcPr>
    </w:tblStylePr>
    <w:tblStylePr w:type="band1Horz">
      <w:tblPr/>
      <w:tcPr>
        <w:shd w:val="clear" w:color="auto" w:fill="C0FDFF" w:themeFill="accent2" w:themeFillTint="33"/>
      </w:tcPr>
    </w:tblStylePr>
  </w:style>
  <w:style w:type="table" w:styleId="GridTable5Dark-Accent2">
    <w:name w:val="Grid Table 5 Dark Accent 2"/>
    <w:basedOn w:val="TableNormal"/>
    <w:uiPriority w:val="50"/>
    <w:rsid w:val="007A5B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D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1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1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1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1C7" w:themeFill="accent2"/>
      </w:tcPr>
    </w:tblStylePr>
    <w:tblStylePr w:type="band1Vert">
      <w:tblPr/>
      <w:tcPr>
        <w:shd w:val="clear" w:color="auto" w:fill="82FBFF" w:themeFill="accent2" w:themeFillTint="66"/>
      </w:tcPr>
    </w:tblStylePr>
    <w:tblStylePr w:type="band1Horz">
      <w:tblPr/>
      <w:tcPr>
        <w:shd w:val="clear" w:color="auto" w:fill="82FBFF" w:themeFill="accent2" w:themeFillTint="66"/>
      </w:tcPr>
    </w:tblStylePr>
  </w:style>
  <w:style w:type="table" w:styleId="GridTable5Dark-Accent1">
    <w:name w:val="Grid Table 5 Dark Accent 1"/>
    <w:basedOn w:val="TableNormal"/>
    <w:uiPriority w:val="50"/>
    <w:rsid w:val="007A5B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D4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238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238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238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23869" w:themeFill="accent1"/>
      </w:tcPr>
    </w:tblStylePr>
    <w:tblStylePr w:type="band1Vert">
      <w:tblPr/>
      <w:tcPr>
        <w:shd w:val="clear" w:color="auto" w:fill="7AAAE8" w:themeFill="accent1" w:themeFillTint="66"/>
      </w:tcPr>
    </w:tblStylePr>
    <w:tblStylePr w:type="band1Horz">
      <w:tblPr/>
      <w:tcPr>
        <w:shd w:val="clear" w:color="auto" w:fill="7AAAE8"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537411">
      <w:bodyDiv w:val="1"/>
      <w:marLeft w:val="0"/>
      <w:marRight w:val="0"/>
      <w:marTop w:val="0"/>
      <w:marBottom w:val="0"/>
      <w:divBdr>
        <w:top w:val="none" w:sz="0" w:space="0" w:color="auto"/>
        <w:left w:val="none" w:sz="0" w:space="0" w:color="auto"/>
        <w:bottom w:val="none" w:sz="0" w:space="0" w:color="auto"/>
        <w:right w:val="none" w:sz="0" w:space="0" w:color="auto"/>
      </w:divBdr>
    </w:div>
    <w:div w:id="131256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ina.Thurman@TWC.texas.go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eoffrey.Miller@TWC.texas.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halia.Baldini@TWC.texas.gov" TargetMode="External"/><Relationship Id="rId5" Type="http://schemas.openxmlformats.org/officeDocument/2006/relationships/footnotes" Target="footnotes.xml"/><Relationship Id="rId15" Type="http://schemas.openxmlformats.org/officeDocument/2006/relationships/hyperlink" Target="mailto:Jackie.Williams@TWC.texas.gov" TargetMode="External"/><Relationship Id="rId10" Type="http://schemas.openxmlformats.org/officeDocument/2006/relationships/hyperlink" Target="https://didyousayode.blogspo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Eduardo.Gonzalez@TWC.texas.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fmill\AppData\Roaming\Microsoft\Templates\Jazzy%20student%20report.dotx" TargetMode="External"/></Relationships>
</file>

<file path=word/theme/theme1.xml><?xml version="1.0" encoding="utf-8"?>
<a:theme xmlns:a="http://schemas.openxmlformats.org/drawingml/2006/main" name="CSR">
  <a:themeElements>
    <a:clrScheme name="CSR 1">
      <a:dk1>
        <a:srgbClr val="000000"/>
      </a:dk1>
      <a:lt1>
        <a:srgbClr val="FFFFFF"/>
      </a:lt1>
      <a:dk2>
        <a:srgbClr val="5E5E5E"/>
      </a:dk2>
      <a:lt2>
        <a:srgbClr val="D6D5D5"/>
      </a:lt2>
      <a:accent1>
        <a:srgbClr val="123869"/>
      </a:accent1>
      <a:accent2>
        <a:srgbClr val="00C1C7"/>
      </a:accent2>
      <a:accent3>
        <a:srgbClr val="EDF0F4"/>
      </a:accent3>
      <a:accent4>
        <a:srgbClr val="ECFBFB"/>
      </a:accent4>
      <a:accent5>
        <a:srgbClr val="DBE8ED"/>
      </a:accent5>
      <a:accent6>
        <a:srgbClr val="F2F2F2"/>
      </a:accent6>
      <a:hlink>
        <a:srgbClr val="0000FF"/>
      </a:hlink>
      <a:folHlink>
        <a:srgbClr val="FF00FF"/>
      </a:folHlink>
    </a:clrScheme>
    <a:fontScheme name="ArialBlack Georgia">
      <a:majorFont>
        <a:latin typeface="Arial Black"/>
        <a:ea typeface=""/>
        <a:cs typeface=""/>
      </a:majorFont>
      <a:minorFont>
        <a:latin typeface="Georgi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SR" id="{37F35FE8-81C2-834E-B0F5-A2BA747F975B}" vid="{780CE211-85CD-264E-8CB1-DEA4BD2090A5}"/>
    </a:ext>
  </a:extLst>
</a:theme>
</file>

<file path=docProps/app.xml><?xml version="1.0" encoding="utf-8"?>
<Properties xmlns="http://schemas.openxmlformats.org/officeDocument/2006/extended-properties" xmlns:vt="http://schemas.openxmlformats.org/officeDocument/2006/docPropsVTypes">
  <Template>Jazzy student report</Template>
  <TotalTime>0</TotalTime>
  <Pages>4</Pages>
  <Words>494</Words>
  <Characters>2870</Characters>
  <Application>Microsoft Office Word</Application>
  <DocSecurity>0</DocSecurity>
  <Lines>179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2023-06-28T12:29:00Z</dcterms:created>
  <dcterms:modified xsi:type="dcterms:W3CDTF">2023-06-28T12:59:00Z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aa78dc70999cdc243c18483fcc9b3a1b31ef72d9a310ad3cc41c27dfe1aed6bd</vt:lpwstr>
  </property>
</Properties>
</file>