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B2E8" w14:textId="67F99A0C" w:rsidR="0069410B" w:rsidRPr="00E86A2D" w:rsidRDefault="00E86A2D" w:rsidP="00E86A2D">
      <w:pPr>
        <w:pStyle w:val="Heading1"/>
        <w:spacing w:before="0" w:after="240" w:line="240" w:lineRule="auto"/>
      </w:pPr>
      <w:r>
        <w:t xml:space="preserve">Adult Education and Literacy </w:t>
      </w:r>
      <w:r>
        <w:br/>
      </w:r>
      <w:r w:rsidR="00493B3A">
        <w:t>Contracted Measures</w:t>
      </w:r>
      <w:r>
        <w:t xml:space="preserve"> and Performance-based Criteria for Program Year 2022-2023</w:t>
      </w:r>
      <w:r>
        <w:br/>
      </w:r>
      <w:r w:rsidR="009649A6" w:rsidRPr="00F91E5E">
        <w:br/>
      </w:r>
    </w:p>
    <w:p w14:paraId="15765503" w14:textId="77777777" w:rsidR="00760135" w:rsidRPr="00E86A2D" w:rsidRDefault="00760135" w:rsidP="00F91E5E">
      <w:pPr>
        <w:pStyle w:val="Heading2"/>
      </w:pPr>
      <w:r w:rsidRPr="00E86A2D">
        <w:t>Background</w:t>
      </w:r>
    </w:p>
    <w:p w14:paraId="74468D79" w14:textId="3F8ABEA8" w:rsidR="00E86A2D" w:rsidRDefault="00E86A2D" w:rsidP="00E86A2D">
      <w:r w:rsidRPr="00E86A2D">
        <w:t xml:space="preserve">On </w:t>
      </w:r>
      <w:hyperlink r:id="rId11" w:history="1">
        <w:r w:rsidRPr="00E86A2D">
          <w:rPr>
            <w:rStyle w:val="Hyperlink"/>
          </w:rPr>
          <w:t>May 31, 2022</w:t>
        </w:r>
      </w:hyperlink>
      <w:r w:rsidRPr="00E86A2D">
        <w:t xml:space="preserve">, the </w:t>
      </w:r>
      <w:r>
        <w:t xml:space="preserve">Texas Workforce Commission’s three-member </w:t>
      </w:r>
      <w:r w:rsidRPr="00E86A2D">
        <w:t>Commission</w:t>
      </w:r>
      <w:r>
        <w:t xml:space="preserve"> (Commission)</w:t>
      </w:r>
      <w:r w:rsidRPr="00E86A2D">
        <w:t xml:space="preserve"> approved the Fiscal Year 202</w:t>
      </w:r>
      <w:r>
        <w:t>3</w:t>
      </w:r>
      <w:r w:rsidRPr="00E86A2D">
        <w:t xml:space="preserve">/AEL </w:t>
      </w:r>
      <w:r>
        <w:t>Program Year (PY) 2022</w:t>
      </w:r>
      <w:r w:rsidRPr="00E86A2D">
        <w:t>–</w:t>
      </w:r>
      <w:r>
        <w:t>20</w:t>
      </w:r>
      <w:r w:rsidRPr="00E86A2D">
        <w:t>2</w:t>
      </w:r>
      <w:r>
        <w:t>3 (</w:t>
      </w:r>
      <w:r w:rsidRPr="00E86A2D">
        <w:t>PY’2</w:t>
      </w:r>
      <w:r>
        <w:t xml:space="preserve">2-’23) </w:t>
      </w:r>
      <w:r w:rsidRPr="00E86A2D">
        <w:t xml:space="preserve">allocations, which correspond to </w:t>
      </w:r>
      <w:r>
        <w:t xml:space="preserve">the final year of </w:t>
      </w:r>
      <w:r w:rsidRPr="00E86A2D">
        <w:t xml:space="preserve">contracts awarded under </w:t>
      </w:r>
      <w:r>
        <w:t>Request for Proposals</w:t>
      </w:r>
      <w:r w:rsidRPr="00E86A2D">
        <w:t xml:space="preserve"> 320-18-01</w:t>
      </w:r>
      <w:r>
        <w:t xml:space="preserve"> </w:t>
      </w:r>
      <w:r w:rsidRPr="00E86A2D">
        <w:t xml:space="preserve">for </w:t>
      </w:r>
      <w:r>
        <w:t>Adult Education and Literacy (AEL)</w:t>
      </w:r>
      <w:r w:rsidRPr="00E86A2D">
        <w:t xml:space="preserve"> statewide grant</w:t>
      </w:r>
      <w:r w:rsidR="0029057A">
        <w:t xml:space="preserve"> awards</w:t>
      </w:r>
      <w:r w:rsidRPr="00E86A2D">
        <w:t xml:space="preserve"> </w:t>
      </w:r>
      <w:r w:rsidR="00E97EDB">
        <w:t>which</w:t>
      </w:r>
      <w:r w:rsidRPr="00E86A2D">
        <w:t xml:space="preserve"> began July 1, </w:t>
      </w:r>
      <w:r w:rsidR="00FB269A">
        <w:t>2018</w:t>
      </w:r>
      <w:r w:rsidRPr="00E86A2D">
        <w:t>. PY’2</w:t>
      </w:r>
      <w:r>
        <w:t>2</w:t>
      </w:r>
      <w:r w:rsidRPr="00E86A2D">
        <w:t xml:space="preserve"> allocations are composed of a 2 percent performance-based funding (PBF) holdback</w:t>
      </w:r>
      <w:r w:rsidR="00326530">
        <w:t xml:space="preserve">, as </w:t>
      </w:r>
      <w:r w:rsidR="006936E9">
        <w:t xml:space="preserve">authorized in TWC </w:t>
      </w:r>
      <w:r w:rsidR="006936E9" w:rsidRPr="006936E9">
        <w:t>General Administration rule §800.68</w:t>
      </w:r>
      <w:r w:rsidRPr="00E86A2D">
        <w:t>.</w:t>
      </w:r>
      <w:r w:rsidR="00E83530">
        <w:t xml:space="preserve"> AEL grantees must meet </w:t>
      </w:r>
      <w:r w:rsidR="00276FDC">
        <w:t>PBF criteria, as approved by the Commission each PY, in order access this holdback of funds, and Labor Code 315.007</w:t>
      </w:r>
      <w:r w:rsidR="0086662F">
        <w:t xml:space="preserve"> includes specific criteria TWC must consider.</w:t>
      </w:r>
    </w:p>
    <w:p w14:paraId="06E3E5B5" w14:textId="0A3923AD" w:rsidR="00493B3A" w:rsidRDefault="00493B3A" w:rsidP="00E86A2D">
      <w:r>
        <w:t xml:space="preserve">AEL contracts outline the annual target enrollment and performance measures, also known as contracted measures, which AEL grantees are contractually required to meet each Program Year. </w:t>
      </w:r>
      <w:r w:rsidR="00E46A95">
        <w:t>Historically, the Commission has approved the following AEL contracted measures:</w:t>
      </w:r>
    </w:p>
    <w:p w14:paraId="205D08C5" w14:textId="40DF25C8" w:rsidR="00E46A95" w:rsidRDefault="00493B3A" w:rsidP="00600689">
      <w:pPr>
        <w:pStyle w:val="ListParagraph"/>
        <w:numPr>
          <w:ilvl w:val="0"/>
          <w:numId w:val="34"/>
        </w:numPr>
      </w:pPr>
      <w:r>
        <w:t>Participant enrollment targets</w:t>
      </w:r>
      <w:r w:rsidR="00C61A27">
        <w:t xml:space="preserve"> in the following areas</w:t>
      </w:r>
    </w:p>
    <w:p w14:paraId="1CCD5DBE" w14:textId="74DA6145" w:rsidR="00C61A27" w:rsidRDefault="00C61A27" w:rsidP="00C61A27">
      <w:pPr>
        <w:pStyle w:val="ListParagraph"/>
        <w:numPr>
          <w:ilvl w:val="1"/>
          <w:numId w:val="34"/>
        </w:numPr>
      </w:pPr>
      <w:r>
        <w:t>Intensive Services</w:t>
      </w:r>
    </w:p>
    <w:p w14:paraId="67F11025" w14:textId="17EB6CA2" w:rsidR="00C61A27" w:rsidRDefault="00C61A27" w:rsidP="00C61A27">
      <w:pPr>
        <w:pStyle w:val="ListParagraph"/>
        <w:numPr>
          <w:ilvl w:val="1"/>
          <w:numId w:val="34"/>
        </w:numPr>
      </w:pPr>
      <w:r>
        <w:t>Integrated Education and Training</w:t>
      </w:r>
      <w:r w:rsidR="00894B59">
        <w:t xml:space="preserve"> (IETs)</w:t>
      </w:r>
    </w:p>
    <w:p w14:paraId="5BA9E7D5" w14:textId="34DBD859" w:rsidR="00C61A27" w:rsidRDefault="00C61A27" w:rsidP="00C61A27">
      <w:pPr>
        <w:pStyle w:val="ListParagraph"/>
        <w:numPr>
          <w:ilvl w:val="1"/>
          <w:numId w:val="34"/>
        </w:numPr>
      </w:pPr>
      <w:r>
        <w:t>Overall Participant</w:t>
      </w:r>
      <w:r w:rsidR="0045504A">
        <w:t>s Served</w:t>
      </w:r>
    </w:p>
    <w:p w14:paraId="12F060FA" w14:textId="06347CAC" w:rsidR="00E46A95" w:rsidRDefault="00493B3A" w:rsidP="00600689">
      <w:pPr>
        <w:pStyle w:val="ListParagraph"/>
        <w:numPr>
          <w:ilvl w:val="0"/>
          <w:numId w:val="34"/>
        </w:numPr>
      </w:pPr>
      <w:r>
        <w:t xml:space="preserve">Measurable skill gains (MSGs), as negotiated with </w:t>
      </w:r>
      <w:r w:rsidR="00476B3D">
        <w:t>the Department of Education</w:t>
      </w:r>
      <w:r w:rsidR="00F747EA">
        <w:t xml:space="preserve">’s </w:t>
      </w:r>
      <w:r w:rsidR="003D58C0">
        <w:t>Office</w:t>
      </w:r>
      <w:r w:rsidR="003D58C0">
        <w:rPr>
          <w:spacing w:val="-10"/>
        </w:rPr>
        <w:t xml:space="preserve"> </w:t>
      </w:r>
      <w:r w:rsidR="003D58C0">
        <w:t>of</w:t>
      </w:r>
      <w:r w:rsidR="003D58C0">
        <w:rPr>
          <w:spacing w:val="-8"/>
        </w:rPr>
        <w:t xml:space="preserve"> </w:t>
      </w:r>
      <w:r w:rsidR="003D58C0">
        <w:t>Career,</w:t>
      </w:r>
      <w:r w:rsidR="003D58C0">
        <w:rPr>
          <w:spacing w:val="-7"/>
        </w:rPr>
        <w:t xml:space="preserve"> </w:t>
      </w:r>
      <w:r w:rsidR="003D58C0">
        <w:t>Technical,</w:t>
      </w:r>
      <w:r w:rsidR="003D58C0">
        <w:rPr>
          <w:spacing w:val="-8"/>
        </w:rPr>
        <w:t xml:space="preserve"> </w:t>
      </w:r>
      <w:r w:rsidR="003D58C0">
        <w:t>and</w:t>
      </w:r>
      <w:r w:rsidR="003D58C0">
        <w:rPr>
          <w:spacing w:val="-7"/>
        </w:rPr>
        <w:t xml:space="preserve"> </w:t>
      </w:r>
      <w:r w:rsidR="003D58C0">
        <w:t>Adult</w:t>
      </w:r>
      <w:r w:rsidR="003D58C0">
        <w:rPr>
          <w:spacing w:val="-8"/>
        </w:rPr>
        <w:t xml:space="preserve"> </w:t>
      </w:r>
      <w:r w:rsidR="003D58C0">
        <w:t>Education</w:t>
      </w:r>
      <w:r w:rsidR="003D58C0">
        <w:rPr>
          <w:spacing w:val="-9"/>
        </w:rPr>
        <w:t xml:space="preserve"> </w:t>
      </w:r>
      <w:r w:rsidR="003D58C0">
        <w:t>(OCTAE)</w:t>
      </w:r>
    </w:p>
    <w:p w14:paraId="518EB0C9" w14:textId="192E7168" w:rsidR="00E46A95" w:rsidRPr="00600689" w:rsidRDefault="00FF6873" w:rsidP="00600689">
      <w:pPr>
        <w:pStyle w:val="ListParagraph"/>
        <w:numPr>
          <w:ilvl w:val="0"/>
          <w:numId w:val="34"/>
        </w:numPr>
        <w:rPr>
          <w:rFonts w:ascii="Segoe UI Symbol" w:hAnsi="Segoe UI Symbol" w:cs="Segoe UI Symbol"/>
        </w:rPr>
      </w:pPr>
      <w:r>
        <w:t>WIOA-e</w:t>
      </w:r>
      <w:r w:rsidR="00493B3A">
        <w:t xml:space="preserve">xit-based outcomes, as outlined in the General Appropriations Act (GAA) and </w:t>
      </w:r>
      <w:r w:rsidR="00E46A95">
        <w:t xml:space="preserve">as </w:t>
      </w:r>
      <w:r w:rsidR="00493B3A">
        <w:t xml:space="preserve">passed by the Texas Legislature, as follows: </w:t>
      </w:r>
    </w:p>
    <w:p w14:paraId="2AE1D43E" w14:textId="77777777" w:rsidR="00E46A95" w:rsidRPr="00600689" w:rsidRDefault="00493B3A" w:rsidP="00600689">
      <w:pPr>
        <w:pStyle w:val="ListParagraph"/>
        <w:numPr>
          <w:ilvl w:val="1"/>
          <w:numId w:val="34"/>
        </w:numPr>
        <w:rPr>
          <w:rFonts w:ascii="Segoe UI Symbol" w:hAnsi="Segoe UI Symbol" w:cs="Segoe UI Symbol"/>
        </w:rPr>
      </w:pPr>
      <w:r>
        <w:t xml:space="preserve">Employed/Enrolled Q2 Post-exit </w:t>
      </w:r>
    </w:p>
    <w:p w14:paraId="062C4B69" w14:textId="77777777" w:rsidR="00600689" w:rsidRDefault="00493B3A" w:rsidP="00600689">
      <w:pPr>
        <w:pStyle w:val="ListParagraph"/>
        <w:numPr>
          <w:ilvl w:val="1"/>
          <w:numId w:val="34"/>
        </w:numPr>
      </w:pPr>
      <w:r>
        <w:t xml:space="preserve">Employed/Enrolled Q2–4 Post-exit </w:t>
      </w:r>
    </w:p>
    <w:p w14:paraId="5671BC52" w14:textId="16DDA771" w:rsidR="00493B3A" w:rsidRDefault="00493B3A" w:rsidP="00600689">
      <w:pPr>
        <w:pStyle w:val="ListParagraph"/>
        <w:numPr>
          <w:ilvl w:val="1"/>
          <w:numId w:val="34"/>
        </w:numPr>
      </w:pPr>
      <w:r>
        <w:t>Credential Rat</w:t>
      </w:r>
      <w:r w:rsidR="00600689">
        <w:t>e</w:t>
      </w:r>
    </w:p>
    <w:p w14:paraId="12C6C212" w14:textId="4A0FE157" w:rsidR="00894B59" w:rsidRDefault="00894B59" w:rsidP="00894B59">
      <w:r>
        <w:t xml:space="preserve">On </w:t>
      </w:r>
      <w:hyperlink r:id="rId12" w:history="1">
        <w:r w:rsidRPr="008B058C">
          <w:rPr>
            <w:rStyle w:val="Hyperlink"/>
          </w:rPr>
          <w:t>August 23, 2022</w:t>
        </w:r>
      </w:hyperlink>
      <w:r>
        <w:t>, the Commission approved the Legislative Appropriations Request</w:t>
      </w:r>
      <w:r w:rsidR="00B34B12">
        <w:t xml:space="preserve"> (LAR)</w:t>
      </w:r>
      <w:r>
        <w:t xml:space="preserve"> for Fiscal Years </w:t>
      </w:r>
      <w:r w:rsidR="00490C89">
        <w:t>(</w:t>
      </w:r>
      <w:r w:rsidR="00793BD7">
        <w:t>F</w:t>
      </w:r>
      <w:r w:rsidR="00490C89">
        <w:t xml:space="preserve">Ys) </w:t>
      </w:r>
      <w:r>
        <w:t>2024 and 2025</w:t>
      </w:r>
      <w:r w:rsidR="00490C89">
        <w:t xml:space="preserve"> and which included updated estimates for </w:t>
      </w:r>
      <w:r w:rsidR="00AD2DC0">
        <w:t>P</w:t>
      </w:r>
      <w:r w:rsidR="00490C89">
        <w:t>Y2023</w:t>
      </w:r>
      <w:r>
        <w:t>, which assumes</w:t>
      </w:r>
      <w:r w:rsidR="00ED0493">
        <w:t xml:space="preserve"> both</w:t>
      </w:r>
      <w:r>
        <w:t xml:space="preserve"> a higher average cost per participant and </w:t>
      </w:r>
      <w:r w:rsidR="002C6BFC">
        <w:t>casemix</w:t>
      </w:r>
      <w:r>
        <w:t xml:space="preserve"> increase of Intensive Services and IETs, than in previous years.</w:t>
      </w:r>
      <w:r w:rsidR="002C6BFC">
        <w:t xml:space="preserve"> </w:t>
      </w:r>
    </w:p>
    <w:p w14:paraId="07324327" w14:textId="4806D7B8" w:rsidR="00EB26BA" w:rsidRDefault="005D0337" w:rsidP="00EB26BA">
      <w:r>
        <w:t xml:space="preserve">In early September 2022, TWC and AEL grantees carried out a negotiation process </w:t>
      </w:r>
      <w:r w:rsidR="00230D24">
        <w:t xml:space="preserve">as in previous years </w:t>
      </w:r>
      <w:r>
        <w:t xml:space="preserve">for the PY’22-’23 enrollment targets, </w:t>
      </w:r>
      <w:r w:rsidR="00807270">
        <w:t xml:space="preserve">also composed of carryforward </w:t>
      </w:r>
      <w:r w:rsidR="00F36858">
        <w:t>balances</w:t>
      </w:r>
      <w:r w:rsidR="00807270">
        <w:t xml:space="preserve"> from PY’21-’22.</w:t>
      </w:r>
      <w:r w:rsidR="00B05BCF">
        <w:t xml:space="preserve"> </w:t>
      </w:r>
      <w:r w:rsidR="00230D24">
        <w:t>Contracted measures proposed by the TWC in this process consider the</w:t>
      </w:r>
      <w:r w:rsidR="00EF28E1">
        <w:t xml:space="preserve"> AEL performance measure</w:t>
      </w:r>
      <w:r w:rsidR="00720357">
        <w:t>s</w:t>
      </w:r>
      <w:r w:rsidR="00EF28E1">
        <w:t xml:space="preserve"> in the General </w:t>
      </w:r>
      <w:r w:rsidR="001449A7">
        <w:t>Appropriations</w:t>
      </w:r>
      <w:r w:rsidR="00EF28E1">
        <w:t xml:space="preserve"> Act (GAA), as passed by the 87</w:t>
      </w:r>
      <w:r w:rsidR="00EF28E1" w:rsidRPr="00EF28E1">
        <w:rPr>
          <w:vertAlign w:val="superscript"/>
        </w:rPr>
        <w:t>th</w:t>
      </w:r>
      <w:r w:rsidR="00EF28E1">
        <w:t xml:space="preserve"> Texas Legislature (Regular Session) for </w:t>
      </w:r>
      <w:r w:rsidR="00AD2DC0">
        <w:t>P</w:t>
      </w:r>
      <w:r w:rsidR="00EF28E1">
        <w:t>Y’23</w:t>
      </w:r>
      <w:r w:rsidR="004F4659">
        <w:t xml:space="preserve">, </w:t>
      </w:r>
      <w:r w:rsidR="00720357">
        <w:t>composed of</w:t>
      </w:r>
      <w:r w:rsidR="001449A7">
        <w:t xml:space="preserve"> overall</w:t>
      </w:r>
      <w:r w:rsidR="004F4659">
        <w:t xml:space="preserve"> participants served</w:t>
      </w:r>
      <w:r w:rsidR="00EB26BA">
        <w:t xml:space="preserve"> and the exit-</w:t>
      </w:r>
      <w:r w:rsidR="00EB26BA">
        <w:lastRenderedPageBreak/>
        <w:t>based outcomes described above</w:t>
      </w:r>
      <w:r w:rsidR="00A647A7">
        <w:t xml:space="preserve">. Within </w:t>
      </w:r>
      <w:r w:rsidR="00720357">
        <w:t>the</w:t>
      </w:r>
      <w:r w:rsidR="00A647A7">
        <w:t xml:space="preserve"> GAA targets, TWC has flexibility in negotiating the casemix of Intensive and IET service enrollment targets</w:t>
      </w:r>
      <w:r w:rsidR="00A337EF">
        <w:t>, as well as using the average cost-per participant as a guide when developing these assigned enrollment targets.</w:t>
      </w:r>
      <w:r w:rsidR="00F36858">
        <w:t xml:space="preserve"> </w:t>
      </w:r>
    </w:p>
    <w:p w14:paraId="04651548" w14:textId="40BF9AE9" w:rsidR="0096102A" w:rsidRDefault="00552D2E" w:rsidP="00F91E5E">
      <w:pPr>
        <w:pStyle w:val="Heading2"/>
      </w:pPr>
      <w:r>
        <w:t>Issue: Contracted Measures for</w:t>
      </w:r>
      <w:r w:rsidR="00FA5B6B" w:rsidRPr="00FA5B6B">
        <w:t xml:space="preserve"> </w:t>
      </w:r>
      <w:r w:rsidR="00FA5B6B" w:rsidRPr="00E86A2D">
        <w:t>PY’2</w:t>
      </w:r>
      <w:r w:rsidR="00FA5B6B">
        <w:t>2-’23</w:t>
      </w:r>
    </w:p>
    <w:p w14:paraId="2BEE7B52" w14:textId="7FF70840" w:rsidR="00731526" w:rsidRDefault="0051613D" w:rsidP="0051613D">
      <w:r>
        <w:t>Staff has developed the following recommendations for PY22</w:t>
      </w:r>
      <w:r w:rsidR="006968C7">
        <w:t>’</w:t>
      </w:r>
      <w:r w:rsidR="00092AA8">
        <w:t>s</w:t>
      </w:r>
      <w:r>
        <w:t xml:space="preserve"> AEL Grantee </w:t>
      </w:r>
      <w:r w:rsidR="001257AE">
        <w:t>contracted measures</w:t>
      </w:r>
      <w:r w:rsidR="000D5DEA">
        <w:t xml:space="preserve"> for participant </w:t>
      </w:r>
      <w:r w:rsidR="00092AA8">
        <w:t>enrollment</w:t>
      </w:r>
      <w:r w:rsidR="000D5DEA">
        <w:t xml:space="preserve"> targets, MSGs, and exit-baed outcomes.</w:t>
      </w:r>
    </w:p>
    <w:p w14:paraId="1D107ACE" w14:textId="44833FBE" w:rsidR="0051613D" w:rsidRDefault="00092AA8" w:rsidP="0085306D">
      <w:r>
        <w:rPr>
          <w:b/>
          <w:bCs/>
        </w:rPr>
        <w:t xml:space="preserve">Contracted Measure: AEL </w:t>
      </w:r>
      <w:r w:rsidR="000D1D7B">
        <w:rPr>
          <w:b/>
          <w:bCs/>
        </w:rPr>
        <w:t>Enrollment Targets</w:t>
      </w:r>
      <w:r w:rsidR="0051613D">
        <w:t xml:space="preserve"> – </w:t>
      </w:r>
      <w:r w:rsidR="00206562">
        <w:t xml:space="preserve">For </w:t>
      </w:r>
      <w:r w:rsidR="00AD2DC0">
        <w:t>P</w:t>
      </w:r>
      <w:r w:rsidR="00206562">
        <w:t xml:space="preserve">Y 2023, the LAR estimated </w:t>
      </w:r>
      <w:r w:rsidR="00F961C6">
        <w:t>58,551</w:t>
      </w:r>
      <w:r w:rsidR="00D02187">
        <w:t>p</w:t>
      </w:r>
      <w:r w:rsidR="0051613D">
        <w:t>articipants being served which assumed a mix of three tiers of service</w:t>
      </w:r>
      <w:r w:rsidR="00D02187">
        <w:t>s</w:t>
      </w:r>
      <w:r w:rsidR="0051613D">
        <w:t xml:space="preserve"> with different cost assumptions</w:t>
      </w:r>
      <w:r w:rsidR="00F961C6">
        <w:t xml:space="preserve"> which were, </w:t>
      </w:r>
      <w:r w:rsidR="00ED0493">
        <w:t xml:space="preserve">again, </w:t>
      </w:r>
      <w:r w:rsidR="007136D3">
        <w:t xml:space="preserve">somewhat </w:t>
      </w:r>
      <w:r w:rsidR="00ED0493">
        <w:t>higher cost</w:t>
      </w:r>
      <w:r w:rsidR="007136D3">
        <w:t>s</w:t>
      </w:r>
      <w:r w:rsidR="00ED0493">
        <w:t xml:space="preserve">-per participant </w:t>
      </w:r>
      <w:r w:rsidR="007136D3">
        <w:t xml:space="preserve">than in prior years </w:t>
      </w:r>
      <w:r w:rsidR="00ED0493">
        <w:t xml:space="preserve">and </w:t>
      </w:r>
      <w:r w:rsidR="007136D3">
        <w:t xml:space="preserve">these assumptions were used </w:t>
      </w:r>
      <w:r w:rsidR="000C3E57">
        <w:t>in these negotiations</w:t>
      </w:r>
      <w:r w:rsidR="00F15D10">
        <w:t>.</w:t>
      </w:r>
      <w:r w:rsidR="006E5149">
        <w:t xml:space="preserve"> </w:t>
      </w:r>
      <w:r w:rsidR="00D57622">
        <w:t>Below provides a description of the cost-per assumptions for the three</w:t>
      </w:r>
      <w:r w:rsidR="000B4565">
        <w:t xml:space="preserve"> types of service models.</w:t>
      </w:r>
    </w:p>
    <w:p w14:paraId="1C43EDE8" w14:textId="351C3BEA" w:rsidR="0051613D" w:rsidRDefault="000F3AFF" w:rsidP="0085306D">
      <w:pPr>
        <w:pStyle w:val="ListParagraph"/>
        <w:numPr>
          <w:ilvl w:val="0"/>
          <w:numId w:val="40"/>
        </w:numPr>
      </w:pPr>
      <w:r w:rsidRPr="0085306D">
        <w:rPr>
          <w:b/>
          <w:bCs/>
        </w:rPr>
        <w:t>Popular AEL Services</w:t>
      </w:r>
      <w:r w:rsidR="0051613D">
        <w:t xml:space="preserve">: assumed to cost </w:t>
      </w:r>
      <w:r w:rsidR="008E4D2C">
        <w:t>$111</w:t>
      </w:r>
      <w:r w:rsidR="00244611">
        <w:t>7</w:t>
      </w:r>
      <w:r w:rsidR="008E4D2C">
        <w:t>.15</w:t>
      </w:r>
      <w:r w:rsidR="0051613D">
        <w:t xml:space="preserve"> per </w:t>
      </w:r>
      <w:r w:rsidR="000F3948">
        <w:t>p</w:t>
      </w:r>
      <w:r w:rsidR="0051613D">
        <w:t>articipant;</w:t>
      </w:r>
    </w:p>
    <w:p w14:paraId="01F74B32" w14:textId="7DDED3C4" w:rsidR="0051613D" w:rsidRPr="006E5149" w:rsidRDefault="000F3AFF" w:rsidP="0085306D">
      <w:pPr>
        <w:pStyle w:val="ListParagraph"/>
        <w:numPr>
          <w:ilvl w:val="0"/>
          <w:numId w:val="40"/>
        </w:numPr>
      </w:pPr>
      <w:r w:rsidRPr="000F3948">
        <w:rPr>
          <w:b/>
          <w:bCs/>
        </w:rPr>
        <w:t>Intensive</w:t>
      </w:r>
      <w:r w:rsidR="0051613D" w:rsidRPr="000F3948">
        <w:rPr>
          <w:b/>
          <w:bCs/>
        </w:rPr>
        <w:t xml:space="preserve"> AEL</w:t>
      </w:r>
      <w:r w:rsidRPr="000F3948">
        <w:rPr>
          <w:b/>
          <w:bCs/>
        </w:rPr>
        <w:t xml:space="preserve"> Services</w:t>
      </w:r>
      <w:r w:rsidRPr="006E5149">
        <w:t>, composed of Workplace Literacy</w:t>
      </w:r>
      <w:r w:rsidR="0051613D" w:rsidRPr="006E5149">
        <w:t>, International</w:t>
      </w:r>
      <w:r w:rsidR="0045504A" w:rsidRPr="006E5149">
        <w:t>ly-Trained</w:t>
      </w:r>
      <w:r w:rsidR="0051613D" w:rsidRPr="006E5149">
        <w:t xml:space="preserve"> Professional, and Transition to</w:t>
      </w:r>
      <w:r w:rsidRPr="006E5149">
        <w:t xml:space="preserve"> </w:t>
      </w:r>
      <w:r w:rsidR="0051613D" w:rsidRPr="006E5149">
        <w:t>Reentry &amp; Post-Release Services</w:t>
      </w:r>
      <w:r w:rsidR="003B4319" w:rsidRPr="006E5149">
        <w:t xml:space="preserve">, and </w:t>
      </w:r>
      <w:r w:rsidR="0051613D" w:rsidRPr="006E5149">
        <w:t>assumed to cost $</w:t>
      </w:r>
      <w:r w:rsidR="00244611">
        <w:t>1,376.33</w:t>
      </w:r>
      <w:r w:rsidR="0051613D" w:rsidRPr="006E5149">
        <w:t xml:space="preserve"> per Participant; </w:t>
      </w:r>
      <w:r w:rsidR="00731526" w:rsidRPr="006E5149">
        <w:t>a</w:t>
      </w:r>
      <w:r w:rsidR="0051613D" w:rsidRPr="006E5149">
        <w:t>nd</w:t>
      </w:r>
    </w:p>
    <w:p w14:paraId="03A8F0FD" w14:textId="4B35068B" w:rsidR="0051613D" w:rsidRDefault="002316F5" w:rsidP="0085306D">
      <w:pPr>
        <w:pStyle w:val="ListParagraph"/>
        <w:numPr>
          <w:ilvl w:val="0"/>
          <w:numId w:val="40"/>
        </w:numPr>
        <w:rPr>
          <w:b/>
          <w:bCs/>
        </w:rPr>
      </w:pPr>
      <w:r w:rsidRPr="00F46E39">
        <w:rPr>
          <w:b/>
          <w:bCs/>
        </w:rPr>
        <w:t>IET Services</w:t>
      </w:r>
      <w:r w:rsidRPr="006E5149">
        <w:t>,</w:t>
      </w:r>
      <w:r w:rsidR="0051613D" w:rsidRPr="006E5149">
        <w:t xml:space="preserve"> assumed to cost $</w:t>
      </w:r>
      <w:r w:rsidR="00450D07">
        <w:t>2,037.68</w:t>
      </w:r>
      <w:r w:rsidR="00731526" w:rsidRPr="006E5149">
        <w:t xml:space="preserve"> </w:t>
      </w:r>
      <w:r w:rsidR="0051613D" w:rsidRPr="006E5149">
        <w:t>per Participant.</w:t>
      </w:r>
    </w:p>
    <w:p w14:paraId="6A1CDA09" w14:textId="37AF6761" w:rsidR="000D5DEA" w:rsidRDefault="0091737F" w:rsidP="000B4565">
      <w:r>
        <w:t xml:space="preserve">Table 1 outlines the negotiated AEL enrollment targets for PY’22-’23, which includes the PY’21-’22 carryforward balances. </w:t>
      </w:r>
    </w:p>
    <w:p w14:paraId="0216581D" w14:textId="5A437FC7" w:rsidR="000D1D7B" w:rsidRPr="00092AA8" w:rsidRDefault="000D1D7B" w:rsidP="000D1D7B">
      <w:pPr>
        <w:pStyle w:val="Caption"/>
        <w:keepNext/>
        <w:rPr>
          <w:color w:val="auto"/>
          <w:sz w:val="24"/>
          <w:szCs w:val="24"/>
        </w:rPr>
      </w:pPr>
      <w:r w:rsidRPr="00092AA8">
        <w:rPr>
          <w:color w:val="auto"/>
          <w:sz w:val="24"/>
          <w:szCs w:val="24"/>
        </w:rPr>
        <w:t xml:space="preserve">Table </w:t>
      </w:r>
      <w:r w:rsidRPr="00092AA8">
        <w:rPr>
          <w:color w:val="auto"/>
          <w:sz w:val="24"/>
          <w:szCs w:val="24"/>
        </w:rPr>
        <w:fldChar w:fldCharType="begin"/>
      </w:r>
      <w:r w:rsidRPr="00092AA8">
        <w:rPr>
          <w:color w:val="auto"/>
          <w:sz w:val="24"/>
          <w:szCs w:val="24"/>
        </w:rPr>
        <w:instrText xml:space="preserve"> SEQ Table \* ARABIC </w:instrText>
      </w:r>
      <w:r w:rsidRPr="00092AA8">
        <w:rPr>
          <w:color w:val="auto"/>
          <w:sz w:val="24"/>
          <w:szCs w:val="24"/>
        </w:rPr>
        <w:fldChar w:fldCharType="separate"/>
      </w:r>
      <w:r w:rsidR="00F7090D">
        <w:rPr>
          <w:noProof/>
          <w:color w:val="auto"/>
          <w:sz w:val="24"/>
          <w:szCs w:val="24"/>
        </w:rPr>
        <w:t>1</w:t>
      </w:r>
      <w:r w:rsidRPr="00092AA8">
        <w:rPr>
          <w:color w:val="auto"/>
          <w:sz w:val="24"/>
          <w:szCs w:val="24"/>
        </w:rPr>
        <w:fldChar w:fldCharType="end"/>
      </w:r>
      <w:r w:rsidRPr="00092AA8">
        <w:rPr>
          <w:color w:val="auto"/>
          <w:sz w:val="24"/>
          <w:szCs w:val="24"/>
        </w:rPr>
        <w:t>: PY'22-'23 AEL Enrollment Targets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3680"/>
        <w:gridCol w:w="1800"/>
        <w:gridCol w:w="1080"/>
        <w:gridCol w:w="3330"/>
      </w:tblGrid>
      <w:tr w:rsidR="000D1D7B" w:rsidRPr="000D1D7B" w14:paraId="253C34D0" w14:textId="11B72A44" w:rsidTr="001048F2">
        <w:trPr>
          <w:cantSplit/>
          <w:trHeight w:val="673"/>
          <w:tblHeader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F7AD6" w14:textId="77777777" w:rsidR="000D1D7B" w:rsidRPr="000D1D7B" w:rsidRDefault="000D1D7B" w:rsidP="000D1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AEL Grantee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85C73" w14:textId="77777777" w:rsidR="000D1D7B" w:rsidRPr="000D1D7B" w:rsidRDefault="000D1D7B" w:rsidP="000D1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Intensive Services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F9999" w14:textId="77777777" w:rsidR="000D1D7B" w:rsidRPr="000D1D7B" w:rsidRDefault="000D1D7B" w:rsidP="000D1D7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IET Services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432C3" w14:textId="63A0F797" w:rsidR="000D1D7B" w:rsidRPr="000D1D7B" w:rsidRDefault="000D1D7B" w:rsidP="001048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Overall Participants Served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  <w:r w:rsidRPr="000D1D7B">
              <w:rPr>
                <w:rFonts w:eastAsia="Times New Roman"/>
                <w:color w:val="000000"/>
                <w:sz w:val="22"/>
                <w:szCs w:val="22"/>
              </w:rPr>
              <w:t>(Inclusive of Intensive, IET, and Popular AEL Services)</w:t>
            </w:r>
          </w:p>
        </w:tc>
      </w:tr>
      <w:tr w:rsidR="001048F2" w:rsidRPr="000D1D7B" w14:paraId="4D0558DC" w14:textId="0D91FC62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DE77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Abilene ISD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D38F8" w14:textId="592BF806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DF75B5" w14:textId="06D6ECA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94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38515" w14:textId="2244D08D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800</w:t>
            </w:r>
          </w:p>
        </w:tc>
      </w:tr>
      <w:tr w:rsidR="001048F2" w:rsidRPr="000D1D7B" w14:paraId="68ACD99E" w14:textId="02ECAC57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ECEC8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Amarillo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FA6D8" w14:textId="7E4085E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70A4A7" w14:textId="0C5E99B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250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981FF" w14:textId="4501722F" w:rsidR="001048F2" w:rsidRPr="000D1D7B" w:rsidRDefault="001048F2" w:rsidP="001048F2">
            <w:pPr>
              <w:spacing w:after="0" w:line="240" w:lineRule="auto"/>
              <w:ind w:firstLineChars="47" w:firstLine="113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888</w:t>
            </w:r>
          </w:p>
        </w:tc>
      </w:tr>
      <w:tr w:rsidR="001048F2" w:rsidRPr="000D1D7B" w14:paraId="34EA24BF" w14:textId="3FDCD5B7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57543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Angelina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076A4" w14:textId="243C8376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4A42941" w14:textId="408C084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112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F5484" w14:textId="6386616B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980</w:t>
            </w:r>
          </w:p>
        </w:tc>
      </w:tr>
      <w:tr w:rsidR="001048F2" w:rsidRPr="000D1D7B" w14:paraId="13445D40" w14:textId="48E9819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0703B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Austin Comm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E4DCA" w14:textId="57257CE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86B2DBA" w14:textId="54359B3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235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60F43" w14:textId="355438BD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2262</w:t>
            </w:r>
          </w:p>
        </w:tc>
      </w:tr>
      <w:tr w:rsidR="001048F2" w:rsidRPr="000D1D7B" w14:paraId="3B459E03" w14:textId="6775D8E4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26E8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Brazos Valley COG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37723" w14:textId="279032A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AE3FED" w14:textId="61F4B1F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87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72224" w14:textId="7B116F97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691</w:t>
            </w:r>
          </w:p>
        </w:tc>
      </w:tr>
      <w:tr w:rsidR="001048F2" w:rsidRPr="000D1D7B" w14:paraId="1D414A18" w14:textId="46F84099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BB83F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83CF4" w14:textId="035C6DD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BF71E0D" w14:textId="0BEF409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156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8C884" w14:textId="66F2F840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1356</w:t>
            </w:r>
          </w:p>
        </w:tc>
      </w:tr>
      <w:tr w:rsidR="001048F2" w:rsidRPr="000D1D7B" w14:paraId="27D7CF75" w14:textId="0129909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441E6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Community Action Inc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103D3" w14:textId="748D355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D9C8573" w14:textId="68437689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329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877C7" w14:textId="122AADF5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1800</w:t>
            </w:r>
          </w:p>
        </w:tc>
      </w:tr>
      <w:tr w:rsidR="001048F2" w:rsidRPr="000D1D7B" w14:paraId="2ADB5C83" w14:textId="07CB964B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E7DE5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Dallas County LWDB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06B20" w14:textId="7F274766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CA4F30" w14:textId="20EB07E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695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CD6DA" w14:textId="0A604967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6272</w:t>
            </w:r>
          </w:p>
        </w:tc>
      </w:tr>
      <w:tr w:rsidR="001048F2" w:rsidRPr="000D1D7B" w14:paraId="17236AFA" w14:textId="15A9BBCC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8D60C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20 ESC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856A4" w14:textId="739AAF2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E0819B" w14:textId="103DAE7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775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901B5" w14:textId="2AECAD24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5582</w:t>
            </w:r>
          </w:p>
        </w:tc>
      </w:tr>
      <w:tr w:rsidR="001048F2" w:rsidRPr="000D1D7B" w14:paraId="1CA1D647" w14:textId="39DB9F1F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BB3B7" w14:textId="22AE6C36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 xml:space="preserve">Grayson College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0D1D7B">
              <w:rPr>
                <w:rFonts w:eastAsia="Times New Roman"/>
                <w:color w:val="000000"/>
                <w:sz w:val="22"/>
                <w:szCs w:val="22"/>
              </w:rPr>
              <w:t xml:space="preserve"> Texoma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A447A" w14:textId="295B535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5E1E3B8" w14:textId="2F99F6D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9FD29" w14:textId="54BB04CF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628</w:t>
            </w:r>
          </w:p>
        </w:tc>
      </w:tr>
      <w:tr w:rsidR="001048F2" w:rsidRPr="000D1D7B" w14:paraId="1E22A8DA" w14:textId="701F05DE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6271B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Houston-Galveston Area Council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6EAF6" w14:textId="409F9110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E0A307" w14:textId="448CEF6D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1833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B1E36" w14:textId="25B46506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16018</w:t>
            </w:r>
          </w:p>
        </w:tc>
      </w:tr>
      <w:tr w:rsidR="001048F2" w:rsidRPr="000D1D7B" w14:paraId="17E6C885" w14:textId="092618B7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4859E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Howard College - Concho Valley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6D0BE" w14:textId="6DC9EF8D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32FAC4" w14:textId="76F7F4F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60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B00B4" w14:textId="14945945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532</w:t>
            </w:r>
          </w:p>
        </w:tc>
      </w:tr>
      <w:tr w:rsidR="001048F2" w:rsidRPr="000D1D7B" w14:paraId="1D277702" w14:textId="1D8C87F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7429A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Howard College - Permian Basin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2CED6" w14:textId="217CEA8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B5A6C2" w14:textId="503D948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B3119" w14:textId="1A31677D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169</w:t>
            </w:r>
          </w:p>
        </w:tc>
      </w:tr>
      <w:tr w:rsidR="001048F2" w:rsidRPr="000D1D7B" w14:paraId="772A3728" w14:textId="6EC203CF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D42EC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Laredo Comm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D1E3E" w14:textId="65770EC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0E0771" w14:textId="237FA49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108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04881" w14:textId="745BDB75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1053</w:t>
            </w:r>
          </w:p>
        </w:tc>
      </w:tr>
      <w:tr w:rsidR="001048F2" w:rsidRPr="000D1D7B" w14:paraId="4DEAA749" w14:textId="41D8164C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2DF83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Literacy Council of Tyler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5773D" w14:textId="0E42152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0C200C" w14:textId="5EDDB76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227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651BD" w14:textId="02FF086D" w:rsidR="001048F2" w:rsidRPr="000D1D7B" w:rsidRDefault="001048F2" w:rsidP="001048F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1767</w:t>
            </w:r>
          </w:p>
        </w:tc>
      </w:tr>
      <w:tr w:rsidR="001048F2" w:rsidRPr="000D1D7B" w14:paraId="26C6274B" w14:textId="746A16D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7D60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McLennan Comm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6AE41" w14:textId="06DA408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7E06A" w14:textId="31687FC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101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8EC18" w14:textId="0CF2E6E3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1018</w:t>
            </w:r>
          </w:p>
        </w:tc>
      </w:tr>
      <w:tr w:rsidR="001048F2" w:rsidRPr="000D1D7B" w14:paraId="5278B977" w14:textId="7A55C8ED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E222B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Paris Jr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18EC1" w14:textId="5B514E0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E78BA" w14:textId="4BE2F06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A3FA8" w14:textId="5D90492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472</w:t>
            </w:r>
          </w:p>
        </w:tc>
      </w:tr>
      <w:tr w:rsidR="001048F2" w:rsidRPr="000D1D7B" w14:paraId="36A548CC" w14:textId="3C3D3615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F53A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1 ESC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FB199" w14:textId="5763ACB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D1A6A" w14:textId="7E6D26A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B3AA3" w14:textId="0353B1A9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3192</w:t>
            </w:r>
          </w:p>
        </w:tc>
      </w:tr>
      <w:tr w:rsidR="001048F2" w:rsidRPr="000D1D7B" w14:paraId="18AAF845" w14:textId="70A2C3A4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67BD1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17 ESC - Permian Basin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290C98" w14:textId="3EF980A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4ECDF" w14:textId="626218F0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0160F" w14:textId="3CD349A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68</w:t>
            </w:r>
          </w:p>
        </w:tc>
      </w:tr>
      <w:tr w:rsidR="001048F2" w:rsidRPr="000D1D7B" w14:paraId="500D1E9A" w14:textId="563A6355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33918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17 ESC - South Plains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B2393F" w14:textId="528BC9A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ACC2D" w14:textId="2398CAF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87AD38" w14:textId="10BE754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1358</w:t>
            </w:r>
          </w:p>
        </w:tc>
      </w:tr>
      <w:tr w:rsidR="001048F2" w:rsidRPr="000D1D7B" w14:paraId="46FECF41" w14:textId="3211BC1F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BCAF2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5 ESC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8566F4" w14:textId="5DA741D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B6B98" w14:textId="3E232AC3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B6E9A" w14:textId="75A5DFD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877</w:t>
            </w:r>
          </w:p>
        </w:tc>
      </w:tr>
      <w:tr w:rsidR="001048F2" w:rsidRPr="000D1D7B" w14:paraId="24C6D5CC" w14:textId="2EBF95FC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1CB21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9 ESC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A74A7" w14:textId="4CB6B486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9DEF7" w14:textId="41C8A0C0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8BA1B1" w14:textId="7788F3A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521</w:t>
            </w:r>
          </w:p>
        </w:tc>
      </w:tr>
      <w:tr w:rsidR="001048F2" w:rsidRPr="000D1D7B" w14:paraId="1D760366" w14:textId="5A04877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4CC6C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Southwest Texas Jr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338DC" w14:textId="4AE69C83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8F982" w14:textId="3B32069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8C2CD" w14:textId="5BF9131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616</w:t>
            </w:r>
          </w:p>
        </w:tc>
      </w:tr>
      <w:tr w:rsidR="001048F2" w:rsidRPr="000D1D7B" w14:paraId="5B870133" w14:textId="68771C36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D1A20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Victoria Co Jr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900EB3" w14:textId="2CBF1AD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0B10A" w14:textId="57F803F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E46F19" w14:textId="7D5DE15F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678</w:t>
            </w:r>
          </w:p>
        </w:tc>
      </w:tr>
      <w:tr w:rsidR="001048F2" w:rsidRPr="000D1D7B" w14:paraId="3C809F60" w14:textId="03DE16AC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5F524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Weatherford ISD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A4A55" w14:textId="2EBC67B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27A12" w14:textId="326DA20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1BA31" w14:textId="159BE410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540</w:t>
            </w:r>
          </w:p>
        </w:tc>
      </w:tr>
      <w:tr w:rsidR="001048F2" w:rsidRPr="000D1D7B" w14:paraId="2C5F051E" w14:textId="5E07AE47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EFAD8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Central Texas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A0990" w14:textId="7C2481F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6D8BAA" w14:textId="2A56FDD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3D4FE" w14:textId="1888F8A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336</w:t>
            </w:r>
          </w:p>
        </w:tc>
      </w:tr>
      <w:tr w:rsidR="001048F2" w:rsidRPr="000D1D7B" w14:paraId="3CB59CDE" w14:textId="79EBF4BB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418A7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Temple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42A6D2" w14:textId="74295AEF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068C32" w14:textId="1A4F7106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87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D4610" w14:textId="59B8EDE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964</w:t>
            </w:r>
          </w:p>
        </w:tc>
      </w:tr>
      <w:tr w:rsidR="001048F2" w:rsidRPr="000D1D7B" w14:paraId="121BD192" w14:textId="3EFE9C8B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FCE50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Tarrant County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AA887C" w14:textId="1217C70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2EA72" w14:textId="256A458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493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28D262" w14:textId="268B5D5C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4603</w:t>
            </w:r>
          </w:p>
        </w:tc>
      </w:tr>
      <w:tr w:rsidR="001048F2" w:rsidRPr="000D1D7B" w14:paraId="663727F4" w14:textId="4AE45FDF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38AF5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Midland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6A654" w14:textId="48B8BED3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7CFBD" w14:textId="5444EF9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095CBA" w14:textId="4B894CD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405</w:t>
            </w:r>
          </w:p>
        </w:tc>
      </w:tr>
      <w:tr w:rsidR="001048F2" w:rsidRPr="000D1D7B" w14:paraId="201BFFEC" w14:textId="4E98CA4E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4BA6B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Navarro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08198" w14:textId="41FAB33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8A59F" w14:textId="010CD4B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692D6" w14:textId="6D56AE3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1423</w:t>
            </w:r>
          </w:p>
        </w:tc>
      </w:tr>
      <w:tr w:rsidR="001048F2" w:rsidRPr="000D1D7B" w14:paraId="55443713" w14:textId="5F83BFAB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5D4F4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Paris Jr College - North Central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774C6" w14:textId="4550EC1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87AB90" w14:textId="424E483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CDB923" w14:textId="3165B44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364</w:t>
            </w:r>
          </w:p>
        </w:tc>
      </w:tr>
      <w:tr w:rsidR="001048F2" w:rsidRPr="000D1D7B" w14:paraId="6339A188" w14:textId="575FBC7B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1B90E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Region 2 ESC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25302B" w14:textId="13EF9B7F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5B28C" w14:textId="601936E2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8F5EEE" w14:textId="25C26C1A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1752</w:t>
            </w:r>
          </w:p>
        </w:tc>
      </w:tr>
      <w:tr w:rsidR="001048F2" w:rsidRPr="000D1D7B" w14:paraId="496B761B" w14:textId="7D5F0EF3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CCC7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Texarkana ISD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1AB71F" w14:textId="4652E0D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00F61" w14:textId="27367970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AE476" w14:textId="2EB9E68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315</w:t>
            </w:r>
          </w:p>
        </w:tc>
      </w:tr>
      <w:tr w:rsidR="001048F2" w:rsidRPr="000D1D7B" w14:paraId="128ADC77" w14:textId="207944CD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D1BC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0F0A9" w14:textId="21617ADB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7D7BA8" w14:textId="740F0AF7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DA409" w14:textId="2CCDB50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2229</w:t>
            </w:r>
          </w:p>
        </w:tc>
      </w:tr>
      <w:tr w:rsidR="001048F2" w:rsidRPr="000D1D7B" w14:paraId="597C2A0B" w14:textId="082B5CA9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889FC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Odessa College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270B3" w14:textId="1904535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A4916" w14:textId="656349EE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2A477" w14:textId="6AA62A79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654</w:t>
            </w:r>
          </w:p>
        </w:tc>
      </w:tr>
      <w:tr w:rsidR="001048F2" w:rsidRPr="000D1D7B" w14:paraId="2977F9FE" w14:textId="13EE95E2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5C669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95886" w14:textId="1142FCF4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5F739" w14:textId="53A70A1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230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2A5127" w14:textId="03B863DD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2137</w:t>
            </w:r>
          </w:p>
        </w:tc>
      </w:tr>
      <w:tr w:rsidR="001048F2" w:rsidRPr="000D1D7B" w14:paraId="46A64FD6" w14:textId="64DCD548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E6148" w14:textId="77777777" w:rsidR="001048F2" w:rsidRPr="000D1D7B" w:rsidRDefault="001048F2" w:rsidP="001048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D1D7B">
              <w:rPr>
                <w:rFonts w:eastAsia="Times New Roman"/>
                <w:color w:val="000000"/>
                <w:sz w:val="22"/>
                <w:szCs w:val="22"/>
              </w:rPr>
              <w:t>Grayson College - North Central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70974" w14:textId="31073F78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2A28C" w14:textId="602E227F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6252">
              <w:t>198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C2B4FF" w14:textId="53DBCB15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248D">
              <w:t>2283</w:t>
            </w:r>
          </w:p>
        </w:tc>
      </w:tr>
      <w:tr w:rsidR="001048F2" w:rsidRPr="000D1D7B" w14:paraId="5C9594B3" w14:textId="38246AA1" w:rsidTr="001048F2">
        <w:trPr>
          <w:cantSplit/>
          <w:trHeight w:val="144"/>
          <w:jc w:val="center"/>
        </w:trPr>
        <w:tc>
          <w:tcPr>
            <w:tcW w:w="3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519D3B" w14:textId="3E30C818" w:rsidR="001048F2" w:rsidRPr="000D1D7B" w:rsidRDefault="001048F2" w:rsidP="001048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Statewide Enrollment Targets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709CE21" w14:textId="26680A7D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76252">
              <w:t>4,813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E359ED5" w14:textId="107ABE0D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76252">
              <w:t>7,689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A1B18DC" w14:textId="320ACE81" w:rsidR="001048F2" w:rsidRPr="000D1D7B" w:rsidRDefault="001048F2" w:rsidP="001048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7248D">
              <w:t>67,603</w:t>
            </w:r>
          </w:p>
        </w:tc>
      </w:tr>
    </w:tbl>
    <w:p w14:paraId="5C295886" w14:textId="77777777" w:rsidR="00421271" w:rsidRDefault="00421271" w:rsidP="000B4565"/>
    <w:p w14:paraId="58184C08" w14:textId="601C34A3" w:rsidR="00E94B2C" w:rsidRDefault="005339BE" w:rsidP="00C7061F">
      <w:pPr>
        <w:widowControl w:val="0"/>
        <w:tabs>
          <w:tab w:val="left" w:pos="1407"/>
          <w:tab w:val="left" w:pos="1408"/>
        </w:tabs>
        <w:autoSpaceDE w:val="0"/>
        <w:autoSpaceDN w:val="0"/>
        <w:spacing w:before="8" w:after="0" w:line="240" w:lineRule="auto"/>
      </w:pPr>
      <w:r w:rsidRPr="00E94B2C">
        <w:rPr>
          <w:b/>
          <w:sz w:val="22"/>
        </w:rPr>
        <w:t xml:space="preserve">Contracted Measures: </w:t>
      </w:r>
      <w:r w:rsidR="00FA0698" w:rsidRPr="00E94B2C">
        <w:rPr>
          <w:b/>
          <w:sz w:val="22"/>
        </w:rPr>
        <w:t>Measurable</w:t>
      </w:r>
      <w:r w:rsidR="00FA0698" w:rsidRPr="00E94B2C">
        <w:rPr>
          <w:b/>
          <w:spacing w:val="-7"/>
          <w:sz w:val="22"/>
        </w:rPr>
        <w:t xml:space="preserve"> </w:t>
      </w:r>
      <w:r w:rsidR="00FA0698" w:rsidRPr="00E94B2C">
        <w:rPr>
          <w:b/>
          <w:sz w:val="22"/>
        </w:rPr>
        <w:t>Skill</w:t>
      </w:r>
      <w:r w:rsidR="00FA0698" w:rsidRPr="00E94B2C">
        <w:rPr>
          <w:b/>
          <w:spacing w:val="-7"/>
          <w:sz w:val="22"/>
        </w:rPr>
        <w:t xml:space="preserve"> </w:t>
      </w:r>
      <w:r w:rsidR="00FA0698" w:rsidRPr="00E94B2C">
        <w:rPr>
          <w:b/>
          <w:sz w:val="22"/>
        </w:rPr>
        <w:t>Gains</w:t>
      </w:r>
      <w:r>
        <w:t xml:space="preserve"> – </w:t>
      </w:r>
      <w:r w:rsidR="009B5C54">
        <w:t>In early 2022</w:t>
      </w:r>
      <w:r w:rsidR="0060766D" w:rsidRPr="00E94B2C">
        <w:rPr>
          <w:spacing w:val="-6"/>
        </w:rPr>
        <w:t xml:space="preserve"> </w:t>
      </w:r>
      <w:r w:rsidR="0060766D">
        <w:t>year,</w:t>
      </w:r>
      <w:r w:rsidR="0060766D" w:rsidRPr="00E94B2C">
        <w:rPr>
          <w:spacing w:val="-7"/>
        </w:rPr>
        <w:t xml:space="preserve"> </w:t>
      </w:r>
      <w:r w:rsidR="0060766D">
        <w:t>TWC</w:t>
      </w:r>
      <w:r w:rsidR="0060766D" w:rsidRPr="00E94B2C">
        <w:rPr>
          <w:spacing w:val="-6"/>
        </w:rPr>
        <w:t xml:space="preserve"> </w:t>
      </w:r>
      <w:r w:rsidR="0060766D">
        <w:t>negotiated</w:t>
      </w:r>
      <w:r w:rsidR="0060766D" w:rsidRPr="00E94B2C">
        <w:rPr>
          <w:spacing w:val="-8"/>
        </w:rPr>
        <w:t xml:space="preserve"> </w:t>
      </w:r>
      <w:r w:rsidR="0060766D">
        <w:t>both</w:t>
      </w:r>
      <w:r w:rsidR="0060766D" w:rsidRPr="00E94B2C">
        <w:rPr>
          <w:spacing w:val="-6"/>
        </w:rPr>
        <w:t xml:space="preserve"> </w:t>
      </w:r>
      <w:r w:rsidR="0060766D">
        <w:t>PY</w:t>
      </w:r>
      <w:r>
        <w:t>’</w:t>
      </w:r>
      <w:r w:rsidR="0060766D">
        <w:t>2</w:t>
      </w:r>
      <w:r>
        <w:t>2</w:t>
      </w:r>
      <w:r w:rsidR="0060766D" w:rsidRPr="00E94B2C">
        <w:rPr>
          <w:spacing w:val="-8"/>
        </w:rPr>
        <w:t xml:space="preserve"> </w:t>
      </w:r>
      <w:r w:rsidR="0060766D">
        <w:t>and</w:t>
      </w:r>
      <w:r w:rsidR="0060766D" w:rsidRPr="00E94B2C">
        <w:rPr>
          <w:spacing w:val="-6"/>
        </w:rPr>
        <w:t xml:space="preserve"> </w:t>
      </w:r>
      <w:r w:rsidR="0060766D">
        <w:t>PY</w:t>
      </w:r>
      <w:r>
        <w:t>’</w:t>
      </w:r>
      <w:r w:rsidR="0060766D">
        <w:t>2</w:t>
      </w:r>
      <w:r>
        <w:t>3</w:t>
      </w:r>
      <w:r w:rsidR="00265D2C">
        <w:t xml:space="preserve"> </w:t>
      </w:r>
      <w:r w:rsidR="00FA32CD">
        <w:t>MSG</w:t>
      </w:r>
      <w:r w:rsidR="006A3082">
        <w:t xml:space="preserve"> </w:t>
      </w:r>
      <w:r w:rsidR="0060766D">
        <w:t>targets</w:t>
      </w:r>
      <w:r w:rsidR="0060766D" w:rsidRPr="00E94B2C">
        <w:rPr>
          <w:spacing w:val="-8"/>
        </w:rPr>
        <w:t xml:space="preserve"> </w:t>
      </w:r>
      <w:r w:rsidR="0060766D" w:rsidRPr="00E94B2C">
        <w:rPr>
          <w:spacing w:val="-4"/>
        </w:rPr>
        <w:t>with</w:t>
      </w:r>
      <w:r w:rsidRPr="00E94B2C">
        <w:rPr>
          <w:spacing w:val="-4"/>
        </w:rPr>
        <w:t xml:space="preserve"> </w:t>
      </w:r>
      <w:r w:rsidR="003D58C0">
        <w:t>OCTAE</w:t>
      </w:r>
      <w:r w:rsidR="003C7154">
        <w:t>. The negotiated MSG target</w:t>
      </w:r>
      <w:r w:rsidR="00255543">
        <w:t>e</w:t>
      </w:r>
      <w:r w:rsidR="003C7154">
        <w:t>d for PY’22</w:t>
      </w:r>
      <w:r w:rsidR="00BD7602">
        <w:t>-‘23</w:t>
      </w:r>
      <w:r w:rsidR="003C7154">
        <w:t xml:space="preserve"> is 43%, </w:t>
      </w:r>
      <w:r w:rsidR="00FD31BA">
        <w:t>to</w:t>
      </w:r>
      <w:r w:rsidR="003C7154">
        <w:t xml:space="preserve"> which TWC is held accountable</w:t>
      </w:r>
      <w:r w:rsidR="0060766D" w:rsidRPr="00E94B2C">
        <w:rPr>
          <w:spacing w:val="-6"/>
        </w:rPr>
        <w:t xml:space="preserve"> </w:t>
      </w:r>
      <w:r w:rsidR="003C7154" w:rsidRPr="00E94B2C">
        <w:rPr>
          <w:spacing w:val="-6"/>
        </w:rPr>
        <w:t xml:space="preserve">for federal performance reporting. </w:t>
      </w:r>
      <w:r w:rsidR="008C0B3F" w:rsidRPr="00E94B2C">
        <w:rPr>
          <w:spacing w:val="-6"/>
        </w:rPr>
        <w:t xml:space="preserve">Within this MSG target, </w:t>
      </w:r>
      <w:r w:rsidR="00151BD0" w:rsidRPr="00E94B2C">
        <w:rPr>
          <w:spacing w:val="-6"/>
        </w:rPr>
        <w:t>TWC</w:t>
      </w:r>
      <w:r w:rsidR="00006670" w:rsidRPr="00E94B2C">
        <w:rPr>
          <w:spacing w:val="-6"/>
        </w:rPr>
        <w:t xml:space="preserve"> </w:t>
      </w:r>
      <w:r w:rsidR="00255543" w:rsidRPr="00E94B2C">
        <w:rPr>
          <w:spacing w:val="-6"/>
        </w:rPr>
        <w:t>assigns</w:t>
      </w:r>
      <w:r w:rsidR="0048022F" w:rsidRPr="00E94B2C">
        <w:rPr>
          <w:spacing w:val="-6"/>
        </w:rPr>
        <w:t xml:space="preserve"> AEL grantees</w:t>
      </w:r>
      <w:r w:rsidR="00995433" w:rsidRPr="00E94B2C">
        <w:rPr>
          <w:spacing w:val="-6"/>
        </w:rPr>
        <w:t xml:space="preserve"> sub</w:t>
      </w:r>
      <w:r w:rsidR="001D2A0A">
        <w:rPr>
          <w:spacing w:val="-6"/>
        </w:rPr>
        <w:t xml:space="preserve"> </w:t>
      </w:r>
      <w:r w:rsidR="00995433" w:rsidRPr="00E94B2C">
        <w:rPr>
          <w:spacing w:val="-6"/>
        </w:rPr>
        <w:t>targets</w:t>
      </w:r>
      <w:r w:rsidR="00A523D5" w:rsidRPr="00E94B2C">
        <w:rPr>
          <w:spacing w:val="-6"/>
        </w:rPr>
        <w:t>, corresponding</w:t>
      </w:r>
      <w:r w:rsidR="00995433" w:rsidRPr="00E94B2C">
        <w:rPr>
          <w:spacing w:val="-6"/>
        </w:rPr>
        <w:t xml:space="preserve"> to each of the</w:t>
      </w:r>
      <w:r w:rsidR="00151BD0" w:rsidRPr="00E94B2C">
        <w:rPr>
          <w:spacing w:val="-6"/>
        </w:rPr>
        <w:t xml:space="preserve"> </w:t>
      </w:r>
      <w:r w:rsidR="003D58C0">
        <w:t>twelve</w:t>
      </w:r>
      <w:r w:rsidR="0060766D" w:rsidRPr="00E94B2C">
        <w:rPr>
          <w:spacing w:val="-8"/>
        </w:rPr>
        <w:t xml:space="preserve"> </w:t>
      </w:r>
      <w:r w:rsidR="0060766D">
        <w:t>different</w:t>
      </w:r>
      <w:r w:rsidR="0060766D" w:rsidRPr="00E94B2C">
        <w:rPr>
          <w:spacing w:val="-7"/>
        </w:rPr>
        <w:t xml:space="preserve"> </w:t>
      </w:r>
      <w:r w:rsidR="0060766D">
        <w:t>Educational</w:t>
      </w:r>
      <w:r w:rsidR="0060766D" w:rsidRPr="00E94B2C">
        <w:rPr>
          <w:spacing w:val="-7"/>
        </w:rPr>
        <w:t xml:space="preserve"> </w:t>
      </w:r>
      <w:r w:rsidR="0060766D">
        <w:t>Functioning</w:t>
      </w:r>
      <w:r w:rsidR="0060766D" w:rsidRPr="00E94B2C">
        <w:rPr>
          <w:spacing w:val="-7"/>
        </w:rPr>
        <w:t xml:space="preserve"> </w:t>
      </w:r>
      <w:r w:rsidR="0060766D">
        <w:t>Levels</w:t>
      </w:r>
      <w:r w:rsidR="0060766D" w:rsidRPr="00E94B2C">
        <w:rPr>
          <w:spacing w:val="-5"/>
        </w:rPr>
        <w:t xml:space="preserve"> </w:t>
      </w:r>
      <w:r w:rsidR="0060766D">
        <w:t>(EFL</w:t>
      </w:r>
      <w:r w:rsidR="003D58C0">
        <w:t>s</w:t>
      </w:r>
      <w:r w:rsidR="0060766D">
        <w:t>)</w:t>
      </w:r>
      <w:r w:rsidR="0060766D" w:rsidRPr="00E94B2C">
        <w:rPr>
          <w:spacing w:val="-7"/>
        </w:rPr>
        <w:t xml:space="preserve"> </w:t>
      </w:r>
      <w:r w:rsidR="0060766D">
        <w:t>that</w:t>
      </w:r>
      <w:r w:rsidR="0060766D" w:rsidRPr="00E94B2C">
        <w:rPr>
          <w:spacing w:val="-7"/>
        </w:rPr>
        <w:t xml:space="preserve"> </w:t>
      </w:r>
      <w:r w:rsidR="0060766D">
        <w:t>AEL</w:t>
      </w:r>
      <w:r w:rsidR="0060766D" w:rsidRPr="00E94B2C">
        <w:rPr>
          <w:spacing w:val="-7"/>
        </w:rPr>
        <w:t xml:space="preserve"> </w:t>
      </w:r>
      <w:r w:rsidR="0060766D" w:rsidRPr="00E94B2C">
        <w:rPr>
          <w:spacing w:val="-4"/>
        </w:rPr>
        <w:t>uses</w:t>
      </w:r>
      <w:r w:rsidRPr="00E94B2C">
        <w:rPr>
          <w:spacing w:val="-4"/>
        </w:rPr>
        <w:t xml:space="preserve"> </w:t>
      </w:r>
      <w:r w:rsidR="0060766D">
        <w:t>for</w:t>
      </w:r>
      <w:r w:rsidR="0060766D" w:rsidRPr="00E94B2C">
        <w:rPr>
          <w:spacing w:val="-7"/>
        </w:rPr>
        <w:t xml:space="preserve"> </w:t>
      </w:r>
      <w:r w:rsidR="003D58C0" w:rsidRPr="00E94B2C">
        <w:rPr>
          <w:spacing w:val="-7"/>
        </w:rPr>
        <w:t xml:space="preserve">federal performance </w:t>
      </w:r>
      <w:r w:rsidR="0060766D">
        <w:t>reportin</w:t>
      </w:r>
      <w:r>
        <w:t>g</w:t>
      </w:r>
      <w:r w:rsidR="00151BD0">
        <w:t>.</w:t>
      </w:r>
      <w:r>
        <w:t xml:space="preserve"> </w:t>
      </w:r>
      <w:r w:rsidR="00151BD0">
        <w:t>S</w:t>
      </w:r>
      <w:r w:rsidR="0060766D">
        <w:t>ix</w:t>
      </w:r>
      <w:r w:rsidR="0060766D" w:rsidRPr="00E94B2C">
        <w:rPr>
          <w:spacing w:val="-6"/>
        </w:rPr>
        <w:t xml:space="preserve"> </w:t>
      </w:r>
      <w:r w:rsidR="00151BD0" w:rsidRPr="00E94B2C">
        <w:rPr>
          <w:spacing w:val="-6"/>
        </w:rPr>
        <w:t xml:space="preserve">EFLs </w:t>
      </w:r>
      <w:r w:rsidR="0060766D">
        <w:t>relate</w:t>
      </w:r>
      <w:r w:rsidR="0060766D" w:rsidRPr="00E94B2C">
        <w:rPr>
          <w:spacing w:val="-6"/>
        </w:rPr>
        <w:t xml:space="preserve"> </w:t>
      </w:r>
      <w:r w:rsidR="0060766D">
        <w:t>to</w:t>
      </w:r>
      <w:r w:rsidR="0060766D" w:rsidRPr="00E94B2C">
        <w:rPr>
          <w:spacing w:val="-7"/>
        </w:rPr>
        <w:t xml:space="preserve"> </w:t>
      </w:r>
      <w:r w:rsidR="0060766D">
        <w:t>Adult</w:t>
      </w:r>
      <w:r w:rsidR="0060766D" w:rsidRPr="00E94B2C">
        <w:rPr>
          <w:spacing w:val="-6"/>
        </w:rPr>
        <w:t xml:space="preserve"> </w:t>
      </w:r>
      <w:r w:rsidR="0060766D">
        <w:t>Basic</w:t>
      </w:r>
      <w:r w:rsidR="0060766D" w:rsidRPr="00E94B2C">
        <w:rPr>
          <w:spacing w:val="-7"/>
        </w:rPr>
        <w:t xml:space="preserve"> </w:t>
      </w:r>
      <w:r w:rsidR="0060766D">
        <w:t>Education</w:t>
      </w:r>
      <w:r w:rsidR="0060766D" w:rsidRPr="00E94B2C">
        <w:rPr>
          <w:spacing w:val="-4"/>
        </w:rPr>
        <w:t xml:space="preserve"> </w:t>
      </w:r>
      <w:r w:rsidR="0060766D">
        <w:t>(ABE)</w:t>
      </w:r>
      <w:r w:rsidR="0060766D" w:rsidRPr="00E94B2C">
        <w:rPr>
          <w:spacing w:val="-6"/>
        </w:rPr>
        <w:t xml:space="preserve"> </w:t>
      </w:r>
      <w:r w:rsidR="0060766D">
        <w:t>and</w:t>
      </w:r>
      <w:r w:rsidR="0060766D" w:rsidRPr="00E94B2C">
        <w:rPr>
          <w:spacing w:val="-6"/>
        </w:rPr>
        <w:t xml:space="preserve"> </w:t>
      </w:r>
      <w:r w:rsidR="0060766D">
        <w:t>six</w:t>
      </w:r>
      <w:r w:rsidR="0060766D" w:rsidRPr="00E94B2C">
        <w:rPr>
          <w:spacing w:val="-6"/>
        </w:rPr>
        <w:t xml:space="preserve"> </w:t>
      </w:r>
      <w:r w:rsidRPr="00E94B2C">
        <w:rPr>
          <w:spacing w:val="-6"/>
        </w:rPr>
        <w:t xml:space="preserve">relate </w:t>
      </w:r>
      <w:r w:rsidR="0060766D">
        <w:t>to</w:t>
      </w:r>
      <w:r w:rsidR="0060766D" w:rsidRPr="00E94B2C">
        <w:rPr>
          <w:spacing w:val="-6"/>
        </w:rPr>
        <w:t xml:space="preserve"> </w:t>
      </w:r>
      <w:r w:rsidR="0060766D">
        <w:t>English</w:t>
      </w:r>
      <w:r w:rsidR="0060766D" w:rsidRPr="00E94B2C">
        <w:rPr>
          <w:spacing w:val="-5"/>
        </w:rPr>
        <w:t xml:space="preserve"> </w:t>
      </w:r>
      <w:r w:rsidR="0060766D">
        <w:t>as</w:t>
      </w:r>
      <w:r w:rsidR="0060766D" w:rsidRPr="00E94B2C">
        <w:rPr>
          <w:spacing w:val="-6"/>
        </w:rPr>
        <w:t xml:space="preserve"> </w:t>
      </w:r>
      <w:r w:rsidR="0060766D">
        <w:t>a</w:t>
      </w:r>
      <w:r w:rsidR="0060766D" w:rsidRPr="00E94B2C">
        <w:rPr>
          <w:spacing w:val="-5"/>
        </w:rPr>
        <w:t xml:space="preserve"> </w:t>
      </w:r>
      <w:r w:rsidR="0060766D" w:rsidRPr="00E94B2C">
        <w:rPr>
          <w:spacing w:val="-2"/>
        </w:rPr>
        <w:t>Second</w:t>
      </w:r>
      <w:r w:rsidRPr="00E94B2C">
        <w:rPr>
          <w:spacing w:val="-2"/>
        </w:rPr>
        <w:t xml:space="preserve"> </w:t>
      </w:r>
      <w:r w:rsidR="0060766D">
        <w:t>Language</w:t>
      </w:r>
      <w:r w:rsidR="0060766D" w:rsidRPr="00E94B2C">
        <w:rPr>
          <w:spacing w:val="-11"/>
        </w:rPr>
        <w:t xml:space="preserve"> </w:t>
      </w:r>
      <w:r w:rsidR="0060766D" w:rsidRPr="00E94B2C">
        <w:rPr>
          <w:spacing w:val="-2"/>
        </w:rPr>
        <w:t>(ESL).</w:t>
      </w:r>
      <w:r w:rsidRPr="00E94B2C">
        <w:rPr>
          <w:spacing w:val="-2"/>
        </w:rPr>
        <w:t xml:space="preserve"> </w:t>
      </w:r>
      <w:r w:rsidR="00F516E0">
        <w:t xml:space="preserve"> </w:t>
      </w:r>
      <w:r w:rsidR="00E94B2C">
        <w:t>These twelve sub</w:t>
      </w:r>
      <w:r w:rsidR="001D2A0A">
        <w:t xml:space="preserve"> </w:t>
      </w:r>
      <w:r w:rsidR="00E94B2C">
        <w:t>targets</w:t>
      </w:r>
      <w:r w:rsidR="00E94B2C" w:rsidRPr="00E94B2C">
        <w:rPr>
          <w:spacing w:val="-5"/>
        </w:rPr>
        <w:t xml:space="preserve"> </w:t>
      </w:r>
      <w:r w:rsidR="00E94B2C">
        <w:t>blend</w:t>
      </w:r>
      <w:r w:rsidR="00E94B2C" w:rsidRPr="00E94B2C">
        <w:rPr>
          <w:spacing w:val="-5"/>
        </w:rPr>
        <w:t xml:space="preserve"> </w:t>
      </w:r>
      <w:r w:rsidR="00E94B2C">
        <w:t>together</w:t>
      </w:r>
      <w:r w:rsidR="00E94B2C" w:rsidRPr="00E94B2C">
        <w:rPr>
          <w:spacing w:val="-7"/>
        </w:rPr>
        <w:t xml:space="preserve"> </w:t>
      </w:r>
      <w:r w:rsidR="00E94B2C">
        <w:t>based</w:t>
      </w:r>
      <w:r w:rsidR="00E94B2C" w:rsidRPr="00E94B2C">
        <w:rPr>
          <w:spacing w:val="-5"/>
        </w:rPr>
        <w:t xml:space="preserve"> on</w:t>
      </w:r>
      <w:r w:rsidR="00C7061F">
        <w:rPr>
          <w:spacing w:val="-5"/>
        </w:rPr>
        <w:t xml:space="preserve"> </w:t>
      </w:r>
      <w:r w:rsidR="00E94B2C">
        <w:t>casemix</w:t>
      </w:r>
      <w:r w:rsidR="00E94B2C">
        <w:rPr>
          <w:spacing w:val="-5"/>
        </w:rPr>
        <w:t xml:space="preserve"> </w:t>
      </w:r>
      <w:r w:rsidR="00E94B2C">
        <w:t>to</w:t>
      </w:r>
      <w:r w:rsidR="00E94B2C">
        <w:rPr>
          <w:spacing w:val="-5"/>
        </w:rPr>
        <w:t xml:space="preserve"> </w:t>
      </w:r>
      <w:r w:rsidR="00E94B2C">
        <w:t>set</w:t>
      </w:r>
      <w:r w:rsidR="00E94B2C">
        <w:rPr>
          <w:spacing w:val="-5"/>
        </w:rPr>
        <w:t xml:space="preserve"> </w:t>
      </w:r>
      <w:r w:rsidR="00E94B2C">
        <w:t>the</w:t>
      </w:r>
      <w:r w:rsidR="00E94B2C">
        <w:rPr>
          <w:spacing w:val="-5"/>
        </w:rPr>
        <w:t xml:space="preserve"> </w:t>
      </w:r>
      <w:r w:rsidR="00E94B2C">
        <w:t>final</w:t>
      </w:r>
      <w:r w:rsidR="00C7061F">
        <w:t xml:space="preserve"> MSG</w:t>
      </w:r>
      <w:r w:rsidR="00E94B2C">
        <w:rPr>
          <w:spacing w:val="-7"/>
        </w:rPr>
        <w:t xml:space="preserve"> </w:t>
      </w:r>
      <w:r w:rsidR="00E94B2C">
        <w:t>target</w:t>
      </w:r>
      <w:r w:rsidR="00E94B2C">
        <w:rPr>
          <w:spacing w:val="-5"/>
        </w:rPr>
        <w:t xml:space="preserve"> </w:t>
      </w:r>
      <w:r w:rsidR="00E94B2C">
        <w:t>for</w:t>
      </w:r>
      <w:r w:rsidR="00E94B2C">
        <w:rPr>
          <w:spacing w:val="-6"/>
        </w:rPr>
        <w:t xml:space="preserve"> </w:t>
      </w:r>
      <w:r w:rsidR="00E94B2C">
        <w:t>each</w:t>
      </w:r>
      <w:r w:rsidR="00E94B2C">
        <w:rPr>
          <w:spacing w:val="-6"/>
        </w:rPr>
        <w:t xml:space="preserve"> </w:t>
      </w:r>
      <w:r w:rsidR="00E94B2C">
        <w:t>grantee.</w:t>
      </w:r>
      <w:r w:rsidR="00E94B2C">
        <w:rPr>
          <w:spacing w:val="67"/>
        </w:rPr>
        <w:t xml:space="preserve"> </w:t>
      </w:r>
      <w:r w:rsidR="00E94B2C">
        <w:t>If</w:t>
      </w:r>
      <w:r w:rsidR="00E94B2C">
        <w:rPr>
          <w:spacing w:val="-6"/>
        </w:rPr>
        <w:t xml:space="preserve"> </w:t>
      </w:r>
      <w:r w:rsidR="00E94B2C">
        <w:t>a</w:t>
      </w:r>
      <w:r w:rsidR="00E94B2C">
        <w:rPr>
          <w:spacing w:val="-5"/>
        </w:rPr>
        <w:t xml:space="preserve"> </w:t>
      </w:r>
      <w:r w:rsidR="00E94B2C">
        <w:t>grantee</w:t>
      </w:r>
      <w:r w:rsidR="00E94B2C">
        <w:rPr>
          <w:spacing w:val="-5"/>
        </w:rPr>
        <w:t xml:space="preserve"> </w:t>
      </w:r>
      <w:r w:rsidR="00E94B2C">
        <w:t>meets</w:t>
      </w:r>
      <w:r w:rsidR="00E94B2C">
        <w:rPr>
          <w:spacing w:val="-5"/>
        </w:rPr>
        <w:t xml:space="preserve"> </w:t>
      </w:r>
      <w:r w:rsidR="00E94B2C">
        <w:t>all</w:t>
      </w:r>
      <w:r w:rsidR="00E94B2C">
        <w:rPr>
          <w:spacing w:val="-6"/>
        </w:rPr>
        <w:t xml:space="preserve"> </w:t>
      </w:r>
      <w:r w:rsidR="00C7061F">
        <w:t>twelve sub</w:t>
      </w:r>
      <w:r w:rsidR="001D2A0A">
        <w:t xml:space="preserve"> </w:t>
      </w:r>
      <w:r w:rsidR="00C7061F">
        <w:t>targets</w:t>
      </w:r>
      <w:r w:rsidR="00E94B2C">
        <w:rPr>
          <w:spacing w:val="-5"/>
        </w:rPr>
        <w:t xml:space="preserve"> </w:t>
      </w:r>
      <w:r w:rsidR="00E94B2C">
        <w:rPr>
          <w:spacing w:val="-2"/>
        </w:rPr>
        <w:t>individually,</w:t>
      </w:r>
      <w:r w:rsidR="00C7061F">
        <w:rPr>
          <w:spacing w:val="-2"/>
        </w:rPr>
        <w:t xml:space="preserve"> </w:t>
      </w:r>
      <w:r w:rsidR="00E94B2C">
        <w:t>they</w:t>
      </w:r>
      <w:r w:rsidR="00E94B2C">
        <w:rPr>
          <w:spacing w:val="-6"/>
        </w:rPr>
        <w:t xml:space="preserve"> </w:t>
      </w:r>
      <w:r w:rsidR="00E94B2C">
        <w:t>meet</w:t>
      </w:r>
      <w:r w:rsidR="00E94B2C">
        <w:rPr>
          <w:spacing w:val="-3"/>
        </w:rPr>
        <w:t xml:space="preserve"> </w:t>
      </w:r>
      <w:r w:rsidR="00E94B2C">
        <w:t>their</w:t>
      </w:r>
      <w:r w:rsidR="00E94B2C">
        <w:rPr>
          <w:spacing w:val="-4"/>
        </w:rPr>
        <w:t xml:space="preserve"> </w:t>
      </w:r>
      <w:r w:rsidR="00E94B2C">
        <w:t>final</w:t>
      </w:r>
      <w:r w:rsidR="00E94B2C">
        <w:rPr>
          <w:spacing w:val="-6"/>
        </w:rPr>
        <w:t xml:space="preserve"> </w:t>
      </w:r>
      <w:r w:rsidR="00E94B2C">
        <w:t>target.</w:t>
      </w:r>
      <w:r w:rsidR="00E94B2C">
        <w:rPr>
          <w:spacing w:val="-4"/>
        </w:rPr>
        <w:t xml:space="preserve"> </w:t>
      </w:r>
      <w:r w:rsidR="00E94B2C">
        <w:t>If</w:t>
      </w:r>
      <w:r w:rsidR="00E94B2C">
        <w:rPr>
          <w:spacing w:val="-5"/>
        </w:rPr>
        <w:t xml:space="preserve"> </w:t>
      </w:r>
      <w:r w:rsidR="00E94B2C">
        <w:t>they</w:t>
      </w:r>
      <w:r w:rsidR="00E94B2C">
        <w:rPr>
          <w:spacing w:val="-5"/>
        </w:rPr>
        <w:t xml:space="preserve"> </w:t>
      </w:r>
      <w:r w:rsidR="00E94B2C">
        <w:t>are</w:t>
      </w:r>
      <w:r w:rsidR="00E94B2C">
        <w:rPr>
          <w:spacing w:val="-5"/>
        </w:rPr>
        <w:t xml:space="preserve"> </w:t>
      </w:r>
      <w:r w:rsidR="00E94B2C">
        <w:t>low</w:t>
      </w:r>
      <w:r w:rsidR="00E94B2C">
        <w:rPr>
          <w:spacing w:val="-4"/>
        </w:rPr>
        <w:t xml:space="preserve"> </w:t>
      </w:r>
      <w:r w:rsidR="00E94B2C">
        <w:t>on</w:t>
      </w:r>
      <w:r w:rsidR="00E94B2C">
        <w:rPr>
          <w:spacing w:val="-5"/>
        </w:rPr>
        <w:t xml:space="preserve"> </w:t>
      </w:r>
      <w:r w:rsidR="00E94B2C">
        <w:t>one</w:t>
      </w:r>
      <w:r w:rsidR="00E94B2C">
        <w:rPr>
          <w:spacing w:val="-5"/>
        </w:rPr>
        <w:t xml:space="preserve"> </w:t>
      </w:r>
      <w:r w:rsidR="00E94B2C">
        <w:t>of</w:t>
      </w:r>
      <w:r w:rsidR="00E94B2C">
        <w:rPr>
          <w:spacing w:val="-5"/>
        </w:rPr>
        <w:t xml:space="preserve"> </w:t>
      </w:r>
      <w:r w:rsidR="00E94B2C">
        <w:t>the</w:t>
      </w:r>
      <w:r w:rsidR="00E94B2C">
        <w:rPr>
          <w:spacing w:val="-4"/>
        </w:rPr>
        <w:t xml:space="preserve"> </w:t>
      </w:r>
      <w:r w:rsidR="00C7061F">
        <w:t>twelve</w:t>
      </w:r>
      <w:r w:rsidR="00E94B2C">
        <w:rPr>
          <w:spacing w:val="-5"/>
        </w:rPr>
        <w:t xml:space="preserve"> </w:t>
      </w:r>
      <w:r w:rsidR="00E94B2C">
        <w:t>and</w:t>
      </w:r>
      <w:r w:rsidR="00E94B2C">
        <w:rPr>
          <w:spacing w:val="-4"/>
        </w:rPr>
        <w:t xml:space="preserve"> </w:t>
      </w:r>
      <w:r w:rsidR="00E94B2C">
        <w:t>high</w:t>
      </w:r>
      <w:r w:rsidR="00E94B2C">
        <w:rPr>
          <w:spacing w:val="-5"/>
        </w:rPr>
        <w:t xml:space="preserve"> </w:t>
      </w:r>
      <w:r w:rsidR="00E94B2C">
        <w:t>on</w:t>
      </w:r>
      <w:r w:rsidR="00E94B2C">
        <w:rPr>
          <w:spacing w:val="-3"/>
        </w:rPr>
        <w:t xml:space="preserve"> </w:t>
      </w:r>
      <w:r w:rsidR="00E94B2C">
        <w:t>one</w:t>
      </w:r>
      <w:r w:rsidR="00E94B2C">
        <w:rPr>
          <w:spacing w:val="-5"/>
        </w:rPr>
        <w:t xml:space="preserve"> </w:t>
      </w:r>
      <w:r w:rsidR="00E94B2C">
        <w:t>of</w:t>
      </w:r>
      <w:r w:rsidR="00E94B2C">
        <w:rPr>
          <w:spacing w:val="-4"/>
        </w:rPr>
        <w:t xml:space="preserve"> </w:t>
      </w:r>
      <w:r w:rsidR="00E94B2C">
        <w:rPr>
          <w:spacing w:val="-5"/>
        </w:rPr>
        <w:t>the</w:t>
      </w:r>
      <w:r w:rsidR="00C7061F">
        <w:rPr>
          <w:spacing w:val="-5"/>
        </w:rPr>
        <w:t xml:space="preserve"> </w:t>
      </w:r>
      <w:r w:rsidR="00E94B2C">
        <w:t>other</w:t>
      </w:r>
      <w:r w:rsidR="00E94B2C">
        <w:rPr>
          <w:spacing w:val="-8"/>
        </w:rPr>
        <w:t xml:space="preserve"> </w:t>
      </w:r>
      <w:r w:rsidR="00C7061F">
        <w:t>eleven EFL sub</w:t>
      </w:r>
      <w:r w:rsidR="001D2A0A">
        <w:t xml:space="preserve"> </w:t>
      </w:r>
      <w:r w:rsidR="00C7061F">
        <w:t>targets</w:t>
      </w:r>
      <w:r w:rsidR="00E94B2C">
        <w:t>,</w:t>
      </w:r>
      <w:r w:rsidR="00E94B2C">
        <w:rPr>
          <w:spacing w:val="-7"/>
        </w:rPr>
        <w:t xml:space="preserve"> </w:t>
      </w:r>
      <w:r w:rsidR="00E94B2C">
        <w:t>it</w:t>
      </w:r>
      <w:r w:rsidR="00E94B2C">
        <w:rPr>
          <w:spacing w:val="-8"/>
        </w:rPr>
        <w:t xml:space="preserve"> </w:t>
      </w:r>
      <w:r w:rsidR="00E94B2C">
        <w:t>is</w:t>
      </w:r>
      <w:r w:rsidR="00E94B2C">
        <w:rPr>
          <w:spacing w:val="-8"/>
        </w:rPr>
        <w:t xml:space="preserve"> </w:t>
      </w:r>
      <w:r w:rsidR="00E94B2C">
        <w:t>possible</w:t>
      </w:r>
      <w:r w:rsidR="00E94B2C">
        <w:rPr>
          <w:spacing w:val="-7"/>
        </w:rPr>
        <w:t xml:space="preserve"> </w:t>
      </w:r>
      <w:r w:rsidR="00E94B2C">
        <w:t>that</w:t>
      </w:r>
      <w:r w:rsidR="00E94B2C">
        <w:rPr>
          <w:spacing w:val="-6"/>
        </w:rPr>
        <w:t xml:space="preserve"> </w:t>
      </w:r>
      <w:r w:rsidR="00E94B2C">
        <w:t>the</w:t>
      </w:r>
      <w:r w:rsidR="00E94B2C">
        <w:rPr>
          <w:spacing w:val="-7"/>
        </w:rPr>
        <w:t xml:space="preserve"> </w:t>
      </w:r>
      <w:r w:rsidR="00E94B2C">
        <w:t>grantee</w:t>
      </w:r>
      <w:r w:rsidR="00E94B2C">
        <w:rPr>
          <w:spacing w:val="-6"/>
        </w:rPr>
        <w:t xml:space="preserve"> </w:t>
      </w:r>
      <w:r w:rsidR="00E94B2C">
        <w:t>will</w:t>
      </w:r>
      <w:r w:rsidR="00E94B2C">
        <w:rPr>
          <w:spacing w:val="-6"/>
        </w:rPr>
        <w:t xml:space="preserve"> </w:t>
      </w:r>
      <w:r w:rsidR="00C7061F">
        <w:rPr>
          <w:spacing w:val="-6"/>
        </w:rPr>
        <w:t xml:space="preserve">still </w:t>
      </w:r>
      <w:r w:rsidR="00E94B2C">
        <w:t>meet</w:t>
      </w:r>
      <w:r w:rsidR="00E94B2C">
        <w:rPr>
          <w:spacing w:val="-6"/>
        </w:rPr>
        <w:t xml:space="preserve"> </w:t>
      </w:r>
      <w:r w:rsidR="00E94B2C">
        <w:t>performance</w:t>
      </w:r>
      <w:r w:rsidR="00E94B2C">
        <w:rPr>
          <w:spacing w:val="-7"/>
        </w:rPr>
        <w:t xml:space="preserve"> </w:t>
      </w:r>
      <w:r w:rsidR="00E94B2C">
        <w:t>expectations</w:t>
      </w:r>
      <w:r w:rsidR="00E94B2C">
        <w:rPr>
          <w:spacing w:val="-7"/>
        </w:rPr>
        <w:t xml:space="preserve"> </w:t>
      </w:r>
      <w:r w:rsidR="00E94B2C">
        <w:t>(if</w:t>
      </w:r>
      <w:r w:rsidR="00E94B2C">
        <w:rPr>
          <w:spacing w:val="-7"/>
        </w:rPr>
        <w:t xml:space="preserve"> </w:t>
      </w:r>
      <w:r w:rsidR="00E94B2C">
        <w:rPr>
          <w:spacing w:val="-5"/>
        </w:rPr>
        <w:t>the</w:t>
      </w:r>
      <w:r w:rsidR="00C7061F">
        <w:rPr>
          <w:spacing w:val="-5"/>
        </w:rPr>
        <w:t xml:space="preserve"> </w:t>
      </w:r>
      <w:r w:rsidR="00E94B2C">
        <w:t>performance</w:t>
      </w:r>
      <w:r w:rsidR="00E94B2C">
        <w:rPr>
          <w:spacing w:val="-11"/>
        </w:rPr>
        <w:t xml:space="preserve"> </w:t>
      </w:r>
      <w:r w:rsidR="00E94B2C">
        <w:t>difference</w:t>
      </w:r>
      <w:r w:rsidR="00E94B2C">
        <w:rPr>
          <w:spacing w:val="-11"/>
        </w:rPr>
        <w:t xml:space="preserve"> </w:t>
      </w:r>
      <w:r w:rsidR="00E94B2C">
        <w:t>and</w:t>
      </w:r>
      <w:r w:rsidR="00E94B2C">
        <w:rPr>
          <w:spacing w:val="-10"/>
        </w:rPr>
        <w:t xml:space="preserve"> </w:t>
      </w:r>
      <w:r w:rsidR="00E94B2C">
        <w:t>casemix</w:t>
      </w:r>
      <w:r w:rsidR="00E94B2C">
        <w:rPr>
          <w:spacing w:val="-9"/>
        </w:rPr>
        <w:t xml:space="preserve"> </w:t>
      </w:r>
      <w:r w:rsidR="00E94B2C">
        <w:t>proportion</w:t>
      </w:r>
      <w:r w:rsidR="00E94B2C">
        <w:rPr>
          <w:spacing w:val="-9"/>
        </w:rPr>
        <w:t xml:space="preserve"> </w:t>
      </w:r>
      <w:r w:rsidR="00E94B2C">
        <w:t>differences</w:t>
      </w:r>
      <w:r w:rsidR="00E94B2C">
        <w:rPr>
          <w:spacing w:val="-9"/>
        </w:rPr>
        <w:t xml:space="preserve"> </w:t>
      </w:r>
      <w:r w:rsidR="00E94B2C">
        <w:t>balance</w:t>
      </w:r>
      <w:r w:rsidR="00E94B2C">
        <w:rPr>
          <w:spacing w:val="-9"/>
        </w:rPr>
        <w:t xml:space="preserve"> </w:t>
      </w:r>
      <w:r w:rsidR="00E94B2C">
        <w:t>out).</w:t>
      </w:r>
      <w:r w:rsidR="00E94B2C">
        <w:rPr>
          <w:spacing w:val="63"/>
        </w:rPr>
        <w:t xml:space="preserve"> </w:t>
      </w:r>
    </w:p>
    <w:p w14:paraId="203AE15C" w14:textId="06A40A75" w:rsidR="00E94B2C" w:rsidRDefault="00E94B2C" w:rsidP="00BF48B4">
      <w:pPr>
        <w:widowControl w:val="0"/>
        <w:tabs>
          <w:tab w:val="left" w:pos="1407"/>
          <w:tab w:val="left" w:pos="1408"/>
        </w:tabs>
        <w:autoSpaceDE w:val="0"/>
        <w:autoSpaceDN w:val="0"/>
        <w:spacing w:before="89" w:after="0" w:line="240" w:lineRule="auto"/>
        <w:rPr>
          <w:spacing w:val="-2"/>
        </w:rPr>
      </w:pPr>
      <w:r w:rsidRPr="00BF48B4">
        <w:t>Each</w:t>
      </w:r>
      <w:r w:rsidRPr="00BF48B4">
        <w:rPr>
          <w:spacing w:val="-9"/>
        </w:rPr>
        <w:t xml:space="preserve"> </w:t>
      </w:r>
      <w:r w:rsidRPr="00BF48B4">
        <w:t>Grantee’s</w:t>
      </w:r>
      <w:r w:rsidRPr="00BF48B4">
        <w:rPr>
          <w:spacing w:val="-8"/>
        </w:rPr>
        <w:t xml:space="preserve"> </w:t>
      </w:r>
      <w:r w:rsidRPr="00BF48B4">
        <w:t>individual</w:t>
      </w:r>
      <w:r w:rsidRPr="00BF48B4">
        <w:rPr>
          <w:spacing w:val="-8"/>
        </w:rPr>
        <w:t xml:space="preserve"> </w:t>
      </w:r>
      <w:r w:rsidR="00C7061F" w:rsidRPr="00BF48B4">
        <w:t>MSG</w:t>
      </w:r>
      <w:r w:rsidRPr="00BF48B4">
        <w:rPr>
          <w:spacing w:val="-8"/>
        </w:rPr>
        <w:t xml:space="preserve"> </w:t>
      </w:r>
      <w:r w:rsidRPr="00BF48B4">
        <w:t>target</w:t>
      </w:r>
      <w:r w:rsidRPr="00BF48B4">
        <w:rPr>
          <w:spacing w:val="-9"/>
        </w:rPr>
        <w:t xml:space="preserve"> </w:t>
      </w:r>
      <w:r w:rsidRPr="00BF48B4">
        <w:t>will</w:t>
      </w:r>
      <w:r w:rsidRPr="00BF48B4">
        <w:rPr>
          <w:spacing w:val="-8"/>
        </w:rPr>
        <w:t xml:space="preserve"> </w:t>
      </w:r>
      <w:r w:rsidRPr="00BF48B4">
        <w:t>be</w:t>
      </w:r>
      <w:r w:rsidRPr="00BF48B4">
        <w:rPr>
          <w:spacing w:val="-9"/>
        </w:rPr>
        <w:t xml:space="preserve"> </w:t>
      </w:r>
      <w:r w:rsidRPr="00BF48B4">
        <w:t>based</w:t>
      </w:r>
      <w:r w:rsidRPr="00BF48B4">
        <w:rPr>
          <w:spacing w:val="-7"/>
        </w:rPr>
        <w:t xml:space="preserve"> </w:t>
      </w:r>
      <w:r w:rsidRPr="00BF48B4">
        <w:t>on</w:t>
      </w:r>
      <w:r w:rsidRPr="00BF48B4">
        <w:rPr>
          <w:spacing w:val="-9"/>
        </w:rPr>
        <w:t xml:space="preserve"> </w:t>
      </w:r>
      <w:r w:rsidRPr="00BF48B4">
        <w:t>the</w:t>
      </w:r>
      <w:r w:rsidRPr="00BF48B4">
        <w:rPr>
          <w:spacing w:val="-8"/>
        </w:rPr>
        <w:t xml:space="preserve"> </w:t>
      </w:r>
      <w:r w:rsidRPr="00BF48B4">
        <w:rPr>
          <w:spacing w:val="-2"/>
        </w:rPr>
        <w:t>blended</w:t>
      </w:r>
      <w:r w:rsidR="00BF48B4" w:rsidRPr="00BF48B4">
        <w:rPr>
          <w:spacing w:val="-2"/>
        </w:rPr>
        <w:t xml:space="preserve"> </w:t>
      </w:r>
      <w:r w:rsidRPr="00BF48B4">
        <w:t>average</w:t>
      </w:r>
      <w:r w:rsidRPr="00BF48B4">
        <w:rPr>
          <w:spacing w:val="-9"/>
        </w:rPr>
        <w:t xml:space="preserve"> </w:t>
      </w:r>
      <w:r w:rsidRPr="00BF48B4">
        <w:t>of</w:t>
      </w:r>
      <w:r w:rsidRPr="00BF48B4">
        <w:rPr>
          <w:spacing w:val="-9"/>
        </w:rPr>
        <w:t xml:space="preserve"> </w:t>
      </w:r>
      <w:r w:rsidRPr="00BF48B4">
        <w:t>the</w:t>
      </w:r>
      <w:r w:rsidRPr="00BF48B4">
        <w:rPr>
          <w:spacing w:val="-11"/>
        </w:rPr>
        <w:t xml:space="preserve"> </w:t>
      </w:r>
      <w:r w:rsidRPr="00BF48B4">
        <w:t>above</w:t>
      </w:r>
      <w:r w:rsidRPr="00BF48B4">
        <w:rPr>
          <w:spacing w:val="-8"/>
        </w:rPr>
        <w:t xml:space="preserve"> </w:t>
      </w:r>
      <w:r w:rsidRPr="00BF48B4">
        <w:t>sub</w:t>
      </w:r>
      <w:r w:rsidR="001D2A0A">
        <w:t xml:space="preserve"> </w:t>
      </w:r>
      <w:r w:rsidRPr="00BF48B4">
        <w:t>targets,</w:t>
      </w:r>
      <w:r w:rsidRPr="00BF48B4">
        <w:rPr>
          <w:spacing w:val="-9"/>
        </w:rPr>
        <w:t xml:space="preserve"> </w:t>
      </w:r>
      <w:r w:rsidRPr="00BF48B4">
        <w:t>customized</w:t>
      </w:r>
      <w:r w:rsidRPr="00BF48B4">
        <w:rPr>
          <w:spacing w:val="-10"/>
        </w:rPr>
        <w:t xml:space="preserve"> </w:t>
      </w:r>
      <w:r w:rsidRPr="00BF48B4">
        <w:t>to</w:t>
      </w:r>
      <w:r w:rsidRPr="00BF48B4">
        <w:rPr>
          <w:spacing w:val="-10"/>
        </w:rPr>
        <w:t xml:space="preserve"> </w:t>
      </w:r>
      <w:r w:rsidRPr="00BF48B4">
        <w:t>their</w:t>
      </w:r>
      <w:r w:rsidRPr="00BF48B4">
        <w:rPr>
          <w:spacing w:val="-10"/>
        </w:rPr>
        <w:t xml:space="preserve"> </w:t>
      </w:r>
      <w:r w:rsidRPr="00BF48B4">
        <w:t>individual</w:t>
      </w:r>
      <w:r w:rsidRPr="00BF48B4">
        <w:rPr>
          <w:spacing w:val="-8"/>
        </w:rPr>
        <w:t xml:space="preserve"> </w:t>
      </w:r>
      <w:r w:rsidRPr="00BF48B4">
        <w:t>enrollment</w:t>
      </w:r>
      <w:r w:rsidRPr="00BF48B4">
        <w:rPr>
          <w:spacing w:val="-10"/>
        </w:rPr>
        <w:t xml:space="preserve"> </w:t>
      </w:r>
      <w:r w:rsidRPr="00BF48B4">
        <w:t>pattern</w:t>
      </w:r>
      <w:r w:rsidRPr="00BF48B4">
        <w:rPr>
          <w:spacing w:val="-6"/>
        </w:rPr>
        <w:t xml:space="preserve"> </w:t>
      </w:r>
      <w:r w:rsidRPr="00BF48B4">
        <w:rPr>
          <w:spacing w:val="-5"/>
        </w:rPr>
        <w:t>in</w:t>
      </w:r>
      <w:r w:rsidR="00BF48B4" w:rsidRPr="00BF48B4">
        <w:rPr>
          <w:spacing w:val="-5"/>
        </w:rPr>
        <w:t xml:space="preserve"> </w:t>
      </w:r>
      <w:r w:rsidRPr="00BF48B4">
        <w:rPr>
          <w:spacing w:val="-2"/>
        </w:rPr>
        <w:t>PY</w:t>
      </w:r>
      <w:r w:rsidR="00BF48B4" w:rsidRPr="00BF48B4">
        <w:rPr>
          <w:spacing w:val="-2"/>
        </w:rPr>
        <w:t>’</w:t>
      </w:r>
      <w:r w:rsidRPr="00BF48B4">
        <w:rPr>
          <w:spacing w:val="-2"/>
        </w:rPr>
        <w:t>2</w:t>
      </w:r>
      <w:r w:rsidR="00BF48B4" w:rsidRPr="00BF48B4">
        <w:rPr>
          <w:spacing w:val="-2"/>
        </w:rPr>
        <w:t>2-PY’23</w:t>
      </w:r>
      <w:r w:rsidRPr="00BF48B4">
        <w:rPr>
          <w:spacing w:val="-2"/>
        </w:rPr>
        <w:t>.</w:t>
      </w:r>
      <w:r w:rsidR="00BF48B4">
        <w:rPr>
          <w:spacing w:val="-2"/>
        </w:rPr>
        <w:t xml:space="preserve"> </w:t>
      </w:r>
      <w:r w:rsidR="00BF48B4">
        <w:t>Table 2</w:t>
      </w:r>
      <w:r w:rsidR="00BF48B4">
        <w:rPr>
          <w:spacing w:val="-7"/>
        </w:rPr>
        <w:t xml:space="preserve"> </w:t>
      </w:r>
      <w:r w:rsidR="00BF48B4">
        <w:t>shows</w:t>
      </w:r>
      <w:r w:rsidR="00BF48B4">
        <w:rPr>
          <w:spacing w:val="-8"/>
        </w:rPr>
        <w:t xml:space="preserve"> </w:t>
      </w:r>
      <w:r w:rsidR="00BF48B4">
        <w:t>the</w:t>
      </w:r>
      <w:r w:rsidR="00BF48B4">
        <w:rPr>
          <w:spacing w:val="-8"/>
        </w:rPr>
        <w:t xml:space="preserve"> </w:t>
      </w:r>
      <w:r w:rsidR="00BF48B4">
        <w:t>twelve</w:t>
      </w:r>
      <w:r w:rsidR="00BF48B4">
        <w:rPr>
          <w:spacing w:val="-7"/>
        </w:rPr>
        <w:t xml:space="preserve"> </w:t>
      </w:r>
      <w:r w:rsidR="00BF48B4">
        <w:t>individual</w:t>
      </w:r>
      <w:r w:rsidR="00BF48B4">
        <w:rPr>
          <w:spacing w:val="-8"/>
        </w:rPr>
        <w:t xml:space="preserve"> </w:t>
      </w:r>
      <w:r w:rsidR="00BF48B4">
        <w:t>sub</w:t>
      </w:r>
      <w:r w:rsidR="001D2A0A">
        <w:t xml:space="preserve"> </w:t>
      </w:r>
      <w:r w:rsidR="00BF48B4">
        <w:t>targets</w:t>
      </w:r>
      <w:r w:rsidR="00BF48B4">
        <w:rPr>
          <w:spacing w:val="-8"/>
        </w:rPr>
        <w:t xml:space="preserve"> </w:t>
      </w:r>
      <w:r w:rsidR="00BF48B4">
        <w:t>by</w:t>
      </w:r>
      <w:r w:rsidR="00BF48B4">
        <w:rPr>
          <w:spacing w:val="-9"/>
        </w:rPr>
        <w:t xml:space="preserve"> </w:t>
      </w:r>
      <w:r w:rsidR="00BF48B4">
        <w:t>EFL</w:t>
      </w:r>
      <w:r w:rsidR="00BF48B4">
        <w:rPr>
          <w:spacing w:val="-7"/>
        </w:rPr>
        <w:t xml:space="preserve"> </w:t>
      </w:r>
      <w:r w:rsidR="00BF48B4">
        <w:rPr>
          <w:spacing w:val="-2"/>
        </w:rPr>
        <w:t>Level.</w:t>
      </w:r>
    </w:p>
    <w:p w14:paraId="233CFA68" w14:textId="77777777" w:rsidR="00BF48B4" w:rsidRPr="00BF48B4" w:rsidRDefault="00BF48B4" w:rsidP="00BF48B4">
      <w:pPr>
        <w:widowControl w:val="0"/>
        <w:tabs>
          <w:tab w:val="left" w:pos="1407"/>
          <w:tab w:val="left" w:pos="1408"/>
        </w:tabs>
        <w:autoSpaceDE w:val="0"/>
        <w:autoSpaceDN w:val="0"/>
        <w:spacing w:before="89" w:after="0" w:line="240" w:lineRule="auto"/>
      </w:pPr>
    </w:p>
    <w:p w14:paraId="5E7D7EA6" w14:textId="78151000" w:rsidR="00BF48B4" w:rsidRPr="00BF48B4" w:rsidRDefault="00BF48B4" w:rsidP="00BF48B4">
      <w:pPr>
        <w:pStyle w:val="Caption"/>
        <w:keepNext/>
        <w:rPr>
          <w:sz w:val="24"/>
          <w:szCs w:val="24"/>
        </w:rPr>
      </w:pPr>
      <w:r w:rsidRPr="00BF48B4">
        <w:rPr>
          <w:sz w:val="24"/>
          <w:szCs w:val="24"/>
        </w:rPr>
        <w:lastRenderedPageBreak/>
        <w:t xml:space="preserve">Table </w:t>
      </w:r>
      <w:r w:rsidRPr="00BF48B4">
        <w:rPr>
          <w:sz w:val="24"/>
          <w:szCs w:val="24"/>
        </w:rPr>
        <w:fldChar w:fldCharType="begin"/>
      </w:r>
      <w:r w:rsidRPr="00BF48B4">
        <w:rPr>
          <w:sz w:val="24"/>
          <w:szCs w:val="24"/>
        </w:rPr>
        <w:instrText xml:space="preserve"> SEQ Table \* ARABIC </w:instrText>
      </w:r>
      <w:r w:rsidRPr="00BF48B4">
        <w:rPr>
          <w:sz w:val="24"/>
          <w:szCs w:val="24"/>
        </w:rPr>
        <w:fldChar w:fldCharType="separate"/>
      </w:r>
      <w:r w:rsidR="00F7090D">
        <w:rPr>
          <w:noProof/>
          <w:sz w:val="24"/>
          <w:szCs w:val="24"/>
        </w:rPr>
        <w:t>2</w:t>
      </w:r>
      <w:r w:rsidRPr="00BF48B4">
        <w:rPr>
          <w:sz w:val="24"/>
          <w:szCs w:val="24"/>
        </w:rPr>
        <w:fldChar w:fldCharType="end"/>
      </w:r>
      <w:r w:rsidRPr="00BF48B4">
        <w:rPr>
          <w:sz w:val="24"/>
          <w:szCs w:val="24"/>
        </w:rPr>
        <w:t>: PY'22-'PY23 MSG Subtargets by EFL Level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60"/>
      </w:tblGrid>
      <w:tr w:rsidR="0060766D" w:rsidRPr="00BF48B4" w14:paraId="45EF2291" w14:textId="77777777" w:rsidTr="002D6FC1">
        <w:trPr>
          <w:trHeight w:val="267"/>
        </w:trPr>
        <w:tc>
          <w:tcPr>
            <w:tcW w:w="1980" w:type="dxa"/>
            <w:shd w:val="clear" w:color="auto" w:fill="D9D9D9" w:themeFill="background1" w:themeFillShade="D9"/>
          </w:tcPr>
          <w:p w14:paraId="67FBB6CF" w14:textId="77777777" w:rsidR="0060766D" w:rsidRPr="00BF48B4" w:rsidRDefault="0060766D" w:rsidP="00E61E95">
            <w:pPr>
              <w:pStyle w:val="TableParagraph"/>
              <w:spacing w:before="1" w:line="247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b/>
                <w:sz w:val="24"/>
                <w:szCs w:val="24"/>
              </w:rPr>
              <w:t>EFL</w:t>
            </w:r>
            <w:r w:rsidRPr="00BF48B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F48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Level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EA11D55" w14:textId="77777777" w:rsidR="0060766D" w:rsidRPr="00BF48B4" w:rsidRDefault="0060766D" w:rsidP="00E61E95">
            <w:pPr>
              <w:pStyle w:val="TableParagraph"/>
              <w:spacing w:before="1" w:line="247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SubTarget</w:t>
            </w:r>
          </w:p>
        </w:tc>
      </w:tr>
      <w:tr w:rsidR="0060766D" w:rsidRPr="00BF48B4" w14:paraId="469C81E7" w14:textId="77777777" w:rsidTr="002D6FC1">
        <w:trPr>
          <w:trHeight w:val="267"/>
        </w:trPr>
        <w:tc>
          <w:tcPr>
            <w:tcW w:w="1980" w:type="dxa"/>
          </w:tcPr>
          <w:p w14:paraId="020DE29B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ABE1</w:t>
            </w:r>
          </w:p>
        </w:tc>
        <w:tc>
          <w:tcPr>
            <w:tcW w:w="3060" w:type="dxa"/>
          </w:tcPr>
          <w:p w14:paraId="69BB0430" w14:textId="718D92BA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60766D" w:rsidRPr="00BF48B4" w14:paraId="68102397" w14:textId="77777777" w:rsidTr="002D6FC1">
        <w:trPr>
          <w:trHeight w:val="267"/>
        </w:trPr>
        <w:tc>
          <w:tcPr>
            <w:tcW w:w="1980" w:type="dxa"/>
          </w:tcPr>
          <w:p w14:paraId="7D304AF0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ABE2</w:t>
            </w:r>
          </w:p>
        </w:tc>
        <w:tc>
          <w:tcPr>
            <w:tcW w:w="3060" w:type="dxa"/>
          </w:tcPr>
          <w:p w14:paraId="40B7D917" w14:textId="2806C339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60766D" w:rsidRPr="00BF48B4" w14:paraId="162CF811" w14:textId="77777777" w:rsidTr="002D6FC1">
        <w:trPr>
          <w:trHeight w:val="267"/>
        </w:trPr>
        <w:tc>
          <w:tcPr>
            <w:tcW w:w="1980" w:type="dxa"/>
          </w:tcPr>
          <w:p w14:paraId="4E3248B2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ABE3</w:t>
            </w:r>
          </w:p>
        </w:tc>
        <w:tc>
          <w:tcPr>
            <w:tcW w:w="3060" w:type="dxa"/>
          </w:tcPr>
          <w:p w14:paraId="7A1BC3A1" w14:textId="143CFAF3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41.5%</w:t>
            </w:r>
          </w:p>
        </w:tc>
      </w:tr>
      <w:tr w:rsidR="0060766D" w:rsidRPr="00BF48B4" w14:paraId="69F0EB12" w14:textId="77777777" w:rsidTr="002D6FC1">
        <w:trPr>
          <w:trHeight w:val="267"/>
        </w:trPr>
        <w:tc>
          <w:tcPr>
            <w:tcW w:w="1980" w:type="dxa"/>
          </w:tcPr>
          <w:p w14:paraId="56357253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ABE4</w:t>
            </w:r>
          </w:p>
        </w:tc>
        <w:tc>
          <w:tcPr>
            <w:tcW w:w="3060" w:type="dxa"/>
          </w:tcPr>
          <w:p w14:paraId="5B6FC54C" w14:textId="62FEAB47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0766D" w:rsidRPr="00BF48B4" w14:paraId="01D3C94F" w14:textId="77777777" w:rsidTr="002D6FC1">
        <w:trPr>
          <w:trHeight w:val="267"/>
        </w:trPr>
        <w:tc>
          <w:tcPr>
            <w:tcW w:w="1980" w:type="dxa"/>
          </w:tcPr>
          <w:p w14:paraId="5A76F20C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ABE5</w:t>
            </w:r>
          </w:p>
        </w:tc>
        <w:tc>
          <w:tcPr>
            <w:tcW w:w="3060" w:type="dxa"/>
          </w:tcPr>
          <w:p w14:paraId="20308E67" w14:textId="79495FBD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0766D" w:rsidRPr="00BF48B4" w14:paraId="3ACA737B" w14:textId="77777777" w:rsidTr="002D6FC1">
        <w:trPr>
          <w:trHeight w:val="268"/>
        </w:trPr>
        <w:tc>
          <w:tcPr>
            <w:tcW w:w="1980" w:type="dxa"/>
          </w:tcPr>
          <w:p w14:paraId="34DE7E8B" w14:textId="77777777" w:rsidR="0060766D" w:rsidRPr="00BF48B4" w:rsidRDefault="0060766D" w:rsidP="00E61E95">
            <w:pPr>
              <w:pStyle w:val="TableParagraph"/>
              <w:spacing w:before="2"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ABE6</w:t>
            </w:r>
          </w:p>
        </w:tc>
        <w:tc>
          <w:tcPr>
            <w:tcW w:w="3060" w:type="dxa"/>
          </w:tcPr>
          <w:p w14:paraId="56A95FBB" w14:textId="7E7E9791" w:rsidR="0060766D" w:rsidRPr="00BF48B4" w:rsidRDefault="001848C9" w:rsidP="00E61E95">
            <w:pPr>
              <w:pStyle w:val="TableParagraph"/>
              <w:spacing w:before="2"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60766D" w:rsidRPr="00BF48B4" w14:paraId="29F7B6B0" w14:textId="77777777" w:rsidTr="002D6FC1">
        <w:trPr>
          <w:trHeight w:val="267"/>
        </w:trPr>
        <w:tc>
          <w:tcPr>
            <w:tcW w:w="1980" w:type="dxa"/>
          </w:tcPr>
          <w:p w14:paraId="03BD1AC4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ESL1</w:t>
            </w:r>
          </w:p>
        </w:tc>
        <w:tc>
          <w:tcPr>
            <w:tcW w:w="3060" w:type="dxa"/>
          </w:tcPr>
          <w:p w14:paraId="08B885F5" w14:textId="09BF5EF2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0766D" w:rsidRPr="00BF48B4" w14:paraId="29C8F007" w14:textId="77777777" w:rsidTr="002D6FC1">
        <w:trPr>
          <w:trHeight w:val="267"/>
        </w:trPr>
        <w:tc>
          <w:tcPr>
            <w:tcW w:w="1980" w:type="dxa"/>
          </w:tcPr>
          <w:p w14:paraId="1F2837A2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ESL2</w:t>
            </w:r>
          </w:p>
        </w:tc>
        <w:tc>
          <w:tcPr>
            <w:tcW w:w="3060" w:type="dxa"/>
          </w:tcPr>
          <w:p w14:paraId="64EB1672" w14:textId="0FE59503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60766D" w:rsidRPr="00BF48B4" w14:paraId="330F3D60" w14:textId="77777777" w:rsidTr="002D6FC1">
        <w:trPr>
          <w:trHeight w:val="267"/>
        </w:trPr>
        <w:tc>
          <w:tcPr>
            <w:tcW w:w="1980" w:type="dxa"/>
          </w:tcPr>
          <w:p w14:paraId="1CAD0381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ESL3</w:t>
            </w:r>
          </w:p>
        </w:tc>
        <w:tc>
          <w:tcPr>
            <w:tcW w:w="3060" w:type="dxa"/>
          </w:tcPr>
          <w:p w14:paraId="346C1FDD" w14:textId="52AEE0E1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0766D" w:rsidRPr="00BF48B4" w14:paraId="59FBC94F" w14:textId="77777777" w:rsidTr="002D6FC1">
        <w:trPr>
          <w:trHeight w:val="267"/>
        </w:trPr>
        <w:tc>
          <w:tcPr>
            <w:tcW w:w="1980" w:type="dxa"/>
          </w:tcPr>
          <w:p w14:paraId="6AB2486A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ESL4</w:t>
            </w:r>
          </w:p>
        </w:tc>
        <w:tc>
          <w:tcPr>
            <w:tcW w:w="3060" w:type="dxa"/>
          </w:tcPr>
          <w:p w14:paraId="549101B8" w14:textId="6EBB7F3F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0766D" w:rsidRPr="00BF48B4" w14:paraId="2C685301" w14:textId="77777777" w:rsidTr="002D6FC1">
        <w:trPr>
          <w:trHeight w:val="267"/>
        </w:trPr>
        <w:tc>
          <w:tcPr>
            <w:tcW w:w="1980" w:type="dxa"/>
          </w:tcPr>
          <w:p w14:paraId="2B66B0E5" w14:textId="77777777" w:rsidR="0060766D" w:rsidRPr="00BF48B4" w:rsidRDefault="0060766D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ESL5</w:t>
            </w:r>
          </w:p>
        </w:tc>
        <w:tc>
          <w:tcPr>
            <w:tcW w:w="3060" w:type="dxa"/>
          </w:tcPr>
          <w:p w14:paraId="1D9D08D3" w14:textId="167A969B" w:rsidR="0060766D" w:rsidRPr="00BF48B4" w:rsidRDefault="001848C9" w:rsidP="00E61E95">
            <w:pPr>
              <w:pStyle w:val="TableParagraph"/>
              <w:spacing w:line="24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60766D" w:rsidRPr="00BF48B4" w14:paraId="5DCB2990" w14:textId="77777777" w:rsidTr="002D6FC1">
        <w:trPr>
          <w:trHeight w:val="268"/>
        </w:trPr>
        <w:tc>
          <w:tcPr>
            <w:tcW w:w="1980" w:type="dxa"/>
          </w:tcPr>
          <w:p w14:paraId="39452ABA" w14:textId="77777777" w:rsidR="0060766D" w:rsidRPr="00BF48B4" w:rsidRDefault="0060766D" w:rsidP="00E61E95">
            <w:pPr>
              <w:pStyle w:val="TableParagraph"/>
              <w:spacing w:line="24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ESL6</w:t>
            </w:r>
          </w:p>
        </w:tc>
        <w:tc>
          <w:tcPr>
            <w:tcW w:w="3060" w:type="dxa"/>
          </w:tcPr>
          <w:p w14:paraId="2D84E17C" w14:textId="721B61BB" w:rsidR="0060766D" w:rsidRPr="00BF48B4" w:rsidRDefault="001848C9" w:rsidP="00E61E95">
            <w:pPr>
              <w:pStyle w:val="TableParagraph"/>
              <w:spacing w:line="24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14:paraId="0D3554B3" w14:textId="7975B0CA" w:rsidR="001B7B61" w:rsidRDefault="001B7B61" w:rsidP="001B7B61">
      <w:pPr>
        <w:widowControl w:val="0"/>
        <w:tabs>
          <w:tab w:val="left" w:pos="1047"/>
          <w:tab w:val="left" w:pos="1048"/>
          <w:tab w:val="left" w:pos="1407"/>
        </w:tabs>
        <w:autoSpaceDE w:val="0"/>
        <w:autoSpaceDN w:val="0"/>
        <w:spacing w:before="168" w:after="0" w:line="240" w:lineRule="auto"/>
      </w:pPr>
      <w:r>
        <w:rPr>
          <w:b/>
          <w:sz w:val="22"/>
        </w:rPr>
        <w:t xml:space="preserve">Contracted Measure: </w:t>
      </w:r>
      <w:r w:rsidR="00FA0698" w:rsidRPr="001B7B61">
        <w:rPr>
          <w:b/>
          <w:sz w:val="22"/>
        </w:rPr>
        <w:t>Exit-based Measures</w:t>
      </w:r>
      <w:r w:rsidR="00C80FB9">
        <w:t xml:space="preserve">– </w:t>
      </w:r>
      <w:r>
        <w:t>TWC</w:t>
      </w:r>
      <w:r w:rsidRPr="001B7B61">
        <w:rPr>
          <w:spacing w:val="-11"/>
        </w:rPr>
        <w:t xml:space="preserve"> </w:t>
      </w:r>
      <w:r>
        <w:t>has</w:t>
      </w:r>
      <w:r w:rsidRPr="001B7B61">
        <w:rPr>
          <w:spacing w:val="-11"/>
        </w:rPr>
        <w:t xml:space="preserve"> </w:t>
      </w:r>
      <w:r>
        <w:t>three</w:t>
      </w:r>
      <w:r w:rsidRPr="001B7B61">
        <w:rPr>
          <w:spacing w:val="-12"/>
        </w:rPr>
        <w:t xml:space="preserve"> </w:t>
      </w:r>
      <w:r>
        <w:t>WIOA</w:t>
      </w:r>
      <w:r w:rsidRPr="001B7B61">
        <w:rPr>
          <w:spacing w:val="-11"/>
        </w:rPr>
        <w:t xml:space="preserve"> </w:t>
      </w:r>
      <w:r w:rsidR="00C80FB9">
        <w:t>e</w:t>
      </w:r>
      <w:r>
        <w:t>xit-based</w:t>
      </w:r>
      <w:r w:rsidRPr="001B7B61">
        <w:rPr>
          <w:spacing w:val="-12"/>
        </w:rPr>
        <w:t xml:space="preserve"> </w:t>
      </w:r>
      <w:r w:rsidRPr="001B7B61">
        <w:rPr>
          <w:spacing w:val="-5"/>
        </w:rPr>
        <w:t>AEL</w:t>
      </w:r>
    </w:p>
    <w:p w14:paraId="51FF1597" w14:textId="0DF71F7C" w:rsidR="001B7B61" w:rsidRDefault="001B7B61" w:rsidP="00C80FB9">
      <w:pPr>
        <w:widowControl w:val="0"/>
        <w:tabs>
          <w:tab w:val="left" w:pos="1407"/>
          <w:tab w:val="left" w:pos="1408"/>
        </w:tabs>
        <w:autoSpaceDE w:val="0"/>
        <w:autoSpaceDN w:val="0"/>
        <w:spacing w:before="8" w:after="0" w:line="240" w:lineRule="auto"/>
      </w:pPr>
      <w:r>
        <w:t>outcome</w:t>
      </w:r>
      <w:r w:rsidRPr="00C80FB9">
        <w:rPr>
          <w:spacing w:val="-8"/>
        </w:rPr>
        <w:t xml:space="preserve"> </w:t>
      </w:r>
      <w:r>
        <w:t>measures</w:t>
      </w:r>
      <w:r w:rsidRPr="00C80FB9">
        <w:rPr>
          <w:spacing w:val="-7"/>
        </w:rPr>
        <w:t xml:space="preserve"> </w:t>
      </w:r>
      <w:r>
        <w:t>that</w:t>
      </w:r>
      <w:r w:rsidRPr="00C80FB9">
        <w:rPr>
          <w:spacing w:val="-9"/>
        </w:rPr>
        <w:t xml:space="preserve"> </w:t>
      </w:r>
      <w:r w:rsidR="00A62C11">
        <w:t>are</w:t>
      </w:r>
      <w:r w:rsidRPr="00C80FB9">
        <w:rPr>
          <w:spacing w:val="-8"/>
        </w:rPr>
        <w:t xml:space="preserve"> </w:t>
      </w:r>
      <w:r>
        <w:t>report</w:t>
      </w:r>
      <w:r w:rsidR="00352590">
        <w:t>ed</w:t>
      </w:r>
      <w:r w:rsidRPr="00C80FB9">
        <w:rPr>
          <w:spacing w:val="-7"/>
        </w:rPr>
        <w:t xml:space="preserve"> </w:t>
      </w:r>
      <w:r>
        <w:t>to</w:t>
      </w:r>
      <w:r w:rsidRPr="00C80FB9">
        <w:rPr>
          <w:spacing w:val="-9"/>
        </w:rPr>
        <w:t xml:space="preserve"> </w:t>
      </w:r>
      <w:r>
        <w:t>the</w:t>
      </w:r>
      <w:r w:rsidRPr="00C80FB9">
        <w:rPr>
          <w:spacing w:val="-7"/>
        </w:rPr>
        <w:t xml:space="preserve"> </w:t>
      </w:r>
      <w:r>
        <w:t>Legislature</w:t>
      </w:r>
      <w:r w:rsidRPr="00C80FB9">
        <w:rPr>
          <w:spacing w:val="-8"/>
        </w:rPr>
        <w:t xml:space="preserve"> </w:t>
      </w:r>
      <w:r>
        <w:t>and</w:t>
      </w:r>
      <w:r w:rsidRPr="00C80FB9">
        <w:rPr>
          <w:spacing w:val="-7"/>
        </w:rPr>
        <w:t xml:space="preserve"> </w:t>
      </w:r>
      <w:r>
        <w:t>Governor’s</w:t>
      </w:r>
      <w:r w:rsidRPr="00C80FB9">
        <w:rPr>
          <w:spacing w:val="-8"/>
        </w:rPr>
        <w:t xml:space="preserve"> </w:t>
      </w:r>
      <w:r>
        <w:t>Office</w:t>
      </w:r>
      <w:r w:rsidRPr="00C80FB9">
        <w:rPr>
          <w:spacing w:val="-8"/>
        </w:rPr>
        <w:t xml:space="preserve"> </w:t>
      </w:r>
      <w:r>
        <w:t>through</w:t>
      </w:r>
      <w:r w:rsidRPr="00C80FB9">
        <w:rPr>
          <w:spacing w:val="-8"/>
        </w:rPr>
        <w:t xml:space="preserve"> </w:t>
      </w:r>
      <w:r w:rsidRPr="00C80FB9">
        <w:rPr>
          <w:spacing w:val="-5"/>
        </w:rPr>
        <w:t>the</w:t>
      </w:r>
    </w:p>
    <w:p w14:paraId="25C2917B" w14:textId="77777777" w:rsidR="001D3556" w:rsidRDefault="001B7B61" w:rsidP="001D3556">
      <w:pPr>
        <w:widowControl w:val="0"/>
        <w:tabs>
          <w:tab w:val="left" w:pos="1407"/>
          <w:tab w:val="left" w:pos="1408"/>
        </w:tabs>
        <w:autoSpaceDE w:val="0"/>
        <w:autoSpaceDN w:val="0"/>
        <w:spacing w:before="9" w:after="0" w:line="240" w:lineRule="auto"/>
        <w:rPr>
          <w:spacing w:val="-6"/>
        </w:rPr>
      </w:pPr>
      <w:r>
        <w:t>Legislative</w:t>
      </w:r>
      <w:r w:rsidRPr="00352590">
        <w:rPr>
          <w:spacing w:val="-7"/>
        </w:rPr>
        <w:t xml:space="preserve"> </w:t>
      </w:r>
      <w:r>
        <w:t>Budget</w:t>
      </w:r>
      <w:r w:rsidRPr="00352590">
        <w:rPr>
          <w:spacing w:val="-8"/>
        </w:rPr>
        <w:t xml:space="preserve"> </w:t>
      </w:r>
      <w:r>
        <w:t>Board.</w:t>
      </w:r>
      <w:r w:rsidRPr="00352590">
        <w:rPr>
          <w:spacing w:val="63"/>
        </w:rPr>
        <w:t xml:space="preserve"> </w:t>
      </w:r>
      <w:r>
        <w:t>Staff</w:t>
      </w:r>
      <w:r w:rsidRPr="00352590">
        <w:rPr>
          <w:spacing w:val="-6"/>
        </w:rPr>
        <w:t xml:space="preserve"> </w:t>
      </w:r>
      <w:r>
        <w:t>recommends</w:t>
      </w:r>
      <w:r w:rsidRPr="00352590">
        <w:rPr>
          <w:spacing w:val="-7"/>
        </w:rPr>
        <w:t xml:space="preserve"> </w:t>
      </w:r>
      <w:r w:rsidR="001D3556">
        <w:t>the exit-based measures match the levels in the GAA</w:t>
      </w:r>
      <w:r w:rsidR="001D3556">
        <w:rPr>
          <w:spacing w:val="-6"/>
        </w:rPr>
        <w:t>, as follows:</w:t>
      </w:r>
    </w:p>
    <w:p w14:paraId="1D7293FD" w14:textId="77777777" w:rsidR="00945AFD" w:rsidRDefault="00945AFD" w:rsidP="001D3556">
      <w:pPr>
        <w:widowControl w:val="0"/>
        <w:tabs>
          <w:tab w:val="left" w:pos="1407"/>
          <w:tab w:val="left" w:pos="1408"/>
        </w:tabs>
        <w:autoSpaceDE w:val="0"/>
        <w:autoSpaceDN w:val="0"/>
        <w:spacing w:before="9" w:after="0" w:line="240" w:lineRule="auto"/>
        <w:rPr>
          <w:spacing w:val="-6"/>
        </w:rPr>
      </w:pPr>
    </w:p>
    <w:p w14:paraId="04B989AE" w14:textId="03203B16" w:rsidR="00F7090D" w:rsidRPr="00F7090D" w:rsidRDefault="00F7090D" w:rsidP="00F7090D">
      <w:pPr>
        <w:pStyle w:val="Caption"/>
        <w:keepNext/>
        <w:rPr>
          <w:sz w:val="24"/>
          <w:szCs w:val="24"/>
        </w:rPr>
      </w:pPr>
      <w:r w:rsidRPr="00F7090D">
        <w:rPr>
          <w:sz w:val="24"/>
          <w:szCs w:val="24"/>
        </w:rPr>
        <w:t xml:space="preserve">Table </w:t>
      </w:r>
      <w:r w:rsidRPr="00F7090D">
        <w:rPr>
          <w:sz w:val="24"/>
          <w:szCs w:val="24"/>
        </w:rPr>
        <w:fldChar w:fldCharType="begin"/>
      </w:r>
      <w:r w:rsidRPr="00F7090D">
        <w:rPr>
          <w:sz w:val="24"/>
          <w:szCs w:val="24"/>
        </w:rPr>
        <w:instrText xml:space="preserve"> SEQ Table \* ARABIC </w:instrText>
      </w:r>
      <w:r w:rsidRPr="00F7090D">
        <w:rPr>
          <w:sz w:val="24"/>
          <w:szCs w:val="24"/>
        </w:rPr>
        <w:fldChar w:fldCharType="separate"/>
      </w:r>
      <w:r w:rsidRPr="00F7090D">
        <w:rPr>
          <w:noProof/>
          <w:sz w:val="24"/>
          <w:szCs w:val="24"/>
        </w:rPr>
        <w:t>3</w:t>
      </w:r>
      <w:r w:rsidRPr="00F7090D">
        <w:rPr>
          <w:sz w:val="24"/>
          <w:szCs w:val="24"/>
        </w:rPr>
        <w:fldChar w:fldCharType="end"/>
      </w:r>
      <w:r w:rsidRPr="00F7090D">
        <w:rPr>
          <w:sz w:val="24"/>
          <w:szCs w:val="24"/>
        </w:rPr>
        <w:t>: PY'22-'23 Exit-based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1FB9" w14:paraId="0683DC5D" w14:textId="77777777" w:rsidTr="00F7090D">
        <w:tc>
          <w:tcPr>
            <w:tcW w:w="4675" w:type="dxa"/>
            <w:shd w:val="clear" w:color="auto" w:fill="D9D9D9" w:themeFill="background1" w:themeFillShade="D9"/>
          </w:tcPr>
          <w:p w14:paraId="078F0C20" w14:textId="34E19027" w:rsidR="005C1FB9" w:rsidRPr="00F7090D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b/>
                <w:bCs/>
                <w:spacing w:val="-6"/>
              </w:rPr>
            </w:pPr>
            <w:r w:rsidRPr="00F7090D">
              <w:rPr>
                <w:b/>
                <w:bCs/>
                <w:spacing w:val="-6"/>
              </w:rPr>
              <w:t xml:space="preserve">Exit-based </w:t>
            </w:r>
            <w:r w:rsidR="00F7090D" w:rsidRPr="00F7090D">
              <w:rPr>
                <w:b/>
                <w:bCs/>
                <w:spacing w:val="-6"/>
              </w:rPr>
              <w:t>Measure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5D0CE37" w14:textId="6A0F8F13" w:rsidR="005C1FB9" w:rsidRPr="00F7090D" w:rsidRDefault="00F7090D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b/>
                <w:bCs/>
                <w:spacing w:val="-6"/>
              </w:rPr>
            </w:pPr>
            <w:r w:rsidRPr="00F7090D">
              <w:rPr>
                <w:b/>
                <w:bCs/>
                <w:spacing w:val="-6"/>
              </w:rPr>
              <w:t>Target</w:t>
            </w:r>
          </w:p>
        </w:tc>
      </w:tr>
      <w:tr w:rsidR="005C1FB9" w14:paraId="642DF175" w14:textId="77777777" w:rsidTr="005C1FB9">
        <w:tc>
          <w:tcPr>
            <w:tcW w:w="4675" w:type="dxa"/>
          </w:tcPr>
          <w:p w14:paraId="0BA9A119" w14:textId="46081684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>
              <w:t>Employed/Enrolled</w:t>
            </w:r>
            <w:r w:rsidRPr="001D3556">
              <w:rPr>
                <w:spacing w:val="-9"/>
              </w:rPr>
              <w:t xml:space="preserve"> </w:t>
            </w:r>
            <w:r>
              <w:t>in</w:t>
            </w:r>
            <w:r w:rsidRPr="001D3556">
              <w:rPr>
                <w:spacing w:val="-10"/>
              </w:rPr>
              <w:t xml:space="preserve"> </w:t>
            </w:r>
            <w:r>
              <w:t>Q2</w:t>
            </w:r>
            <w:r w:rsidRPr="001D3556">
              <w:rPr>
                <w:spacing w:val="-10"/>
              </w:rPr>
              <w:t xml:space="preserve"> </w:t>
            </w:r>
            <w:r>
              <w:t>Post-Exit</w:t>
            </w:r>
          </w:p>
        </w:tc>
        <w:tc>
          <w:tcPr>
            <w:tcW w:w="4675" w:type="dxa"/>
          </w:tcPr>
          <w:p w14:paraId="0595F03C" w14:textId="699C060C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 w:rsidRPr="001D3556">
              <w:rPr>
                <w:spacing w:val="-4"/>
              </w:rPr>
              <w:t>46%</w:t>
            </w:r>
          </w:p>
        </w:tc>
      </w:tr>
      <w:tr w:rsidR="005C1FB9" w14:paraId="6026FDC3" w14:textId="77777777" w:rsidTr="005C1FB9">
        <w:tc>
          <w:tcPr>
            <w:tcW w:w="4675" w:type="dxa"/>
          </w:tcPr>
          <w:p w14:paraId="5194F02B" w14:textId="7E9D24BC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>
              <w:t>Employed/Enrolled</w:t>
            </w:r>
            <w:r w:rsidRPr="001D3556">
              <w:rPr>
                <w:spacing w:val="-9"/>
              </w:rPr>
              <w:t xml:space="preserve"> </w:t>
            </w:r>
            <w:r>
              <w:t>in</w:t>
            </w:r>
            <w:r w:rsidRPr="001D3556">
              <w:rPr>
                <w:spacing w:val="-10"/>
              </w:rPr>
              <w:t xml:space="preserve"> </w:t>
            </w:r>
            <w:r>
              <w:t>Q2-4</w:t>
            </w:r>
            <w:r w:rsidRPr="001D3556">
              <w:rPr>
                <w:spacing w:val="-9"/>
              </w:rPr>
              <w:t xml:space="preserve"> </w:t>
            </w:r>
            <w:r>
              <w:t>Post-Exit</w:t>
            </w:r>
          </w:p>
        </w:tc>
        <w:tc>
          <w:tcPr>
            <w:tcW w:w="4675" w:type="dxa"/>
          </w:tcPr>
          <w:p w14:paraId="59CE7337" w14:textId="53F7BE3B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>
              <w:t>82.4%</w:t>
            </w:r>
          </w:p>
        </w:tc>
      </w:tr>
      <w:tr w:rsidR="005C1FB9" w14:paraId="66370971" w14:textId="77777777" w:rsidTr="005C1FB9">
        <w:tc>
          <w:tcPr>
            <w:tcW w:w="4675" w:type="dxa"/>
          </w:tcPr>
          <w:p w14:paraId="52E21A8C" w14:textId="3C238F33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>
              <w:t>Credential</w:t>
            </w:r>
            <w:r w:rsidRPr="001D3556">
              <w:rPr>
                <w:spacing w:val="-10"/>
              </w:rPr>
              <w:t xml:space="preserve"> </w:t>
            </w:r>
            <w:r>
              <w:t>Rate</w:t>
            </w:r>
          </w:p>
        </w:tc>
        <w:tc>
          <w:tcPr>
            <w:tcW w:w="4675" w:type="dxa"/>
          </w:tcPr>
          <w:p w14:paraId="47215E9A" w14:textId="394CD798" w:rsidR="005C1FB9" w:rsidRDefault="005C1FB9" w:rsidP="001D3556">
            <w:pPr>
              <w:widowControl w:val="0"/>
              <w:tabs>
                <w:tab w:val="left" w:pos="1407"/>
                <w:tab w:val="left" w:pos="1408"/>
              </w:tabs>
              <w:autoSpaceDE w:val="0"/>
              <w:autoSpaceDN w:val="0"/>
              <w:spacing w:before="9"/>
              <w:rPr>
                <w:spacing w:val="-6"/>
              </w:rPr>
            </w:pPr>
            <w:r w:rsidRPr="001D3556">
              <w:rPr>
                <w:spacing w:val="-4"/>
              </w:rPr>
              <w:t>39%</w:t>
            </w:r>
          </w:p>
        </w:tc>
      </w:tr>
    </w:tbl>
    <w:p w14:paraId="66093071" w14:textId="77777777" w:rsidR="00945AFD" w:rsidRDefault="00945AFD" w:rsidP="001D3556">
      <w:pPr>
        <w:widowControl w:val="0"/>
        <w:tabs>
          <w:tab w:val="left" w:pos="1407"/>
          <w:tab w:val="left" w:pos="1408"/>
        </w:tabs>
        <w:autoSpaceDE w:val="0"/>
        <w:autoSpaceDN w:val="0"/>
        <w:spacing w:before="9" w:after="0" w:line="240" w:lineRule="auto"/>
        <w:rPr>
          <w:spacing w:val="-6"/>
        </w:rPr>
      </w:pPr>
    </w:p>
    <w:p w14:paraId="36C598D4" w14:textId="261E5E15" w:rsidR="00463C6A" w:rsidRDefault="00463C6A" w:rsidP="00463C6A">
      <w:pPr>
        <w:pStyle w:val="Heading2"/>
      </w:pPr>
      <w:r>
        <w:t>Issue: Performance-based Criteria for</w:t>
      </w:r>
      <w:r w:rsidRPr="00FA5B6B">
        <w:t xml:space="preserve"> </w:t>
      </w:r>
      <w:r w:rsidRPr="00E86A2D">
        <w:t>PY’2</w:t>
      </w:r>
      <w:r>
        <w:t>2-’23</w:t>
      </w:r>
    </w:p>
    <w:p w14:paraId="33CBDA10" w14:textId="61868FC7" w:rsidR="003C354F" w:rsidRDefault="00463C6A" w:rsidP="00F46E39">
      <w:r>
        <w:t xml:space="preserve">The </w:t>
      </w:r>
      <w:r w:rsidRPr="00E86A2D">
        <w:t>PY’2</w:t>
      </w:r>
      <w:r>
        <w:t>2 AEL allocations</w:t>
      </w:r>
      <w:r w:rsidRPr="00E86A2D">
        <w:t xml:space="preserve"> </w:t>
      </w:r>
      <w:r>
        <w:t>include a</w:t>
      </w:r>
      <w:r w:rsidR="001D3556">
        <w:t xml:space="preserve"> two</w:t>
      </w:r>
      <w:r w:rsidRPr="00E86A2D">
        <w:t xml:space="preserve"> percent </w:t>
      </w:r>
      <w:r>
        <w:t xml:space="preserve">PBF holdback; AEL grantees are required to meet the criteria approved by the Commission each PY to </w:t>
      </w:r>
      <w:r w:rsidR="008E4E20">
        <w:t>get access to those PBF funds</w:t>
      </w:r>
      <w:r w:rsidR="00B378CA">
        <w:t xml:space="preserve">. </w:t>
      </w:r>
      <w:r w:rsidR="003C354F">
        <w:t xml:space="preserve">Labor Code </w:t>
      </w:r>
      <w:r w:rsidR="003C354F" w:rsidRPr="00716D05">
        <w:t>§315.007</w:t>
      </w:r>
      <w:r w:rsidR="003C354F">
        <w:t xml:space="preserve"> </w:t>
      </w:r>
      <w:r w:rsidR="00D325F3">
        <w:t xml:space="preserve">requires </w:t>
      </w:r>
      <w:r w:rsidR="002E1222">
        <w:t xml:space="preserve">TWC to set PBF criteria </w:t>
      </w:r>
      <w:r w:rsidR="003C354F">
        <w:t>related to high school equivalency (HSE) enrollment and attainment</w:t>
      </w:r>
      <w:r w:rsidR="00504EF4">
        <w:t xml:space="preserve"> post-exit</w:t>
      </w:r>
      <w:r w:rsidR="00B32CC0">
        <w:t xml:space="preserve"> of the AEL program</w:t>
      </w:r>
      <w:r w:rsidR="003C354F">
        <w:t>.</w:t>
      </w:r>
    </w:p>
    <w:p w14:paraId="644F9CEC" w14:textId="0E87D91A" w:rsidR="00F46E39" w:rsidRDefault="00B378CA" w:rsidP="00F46E39">
      <w:r>
        <w:t xml:space="preserve">On September 28, 2021, the Commission approved the PBF </w:t>
      </w:r>
      <w:r w:rsidR="00D60A82">
        <w:t>criteria</w:t>
      </w:r>
      <w:r>
        <w:t xml:space="preserve"> for PY’21-’22</w:t>
      </w:r>
      <w:r w:rsidR="00B32CC0">
        <w:t xml:space="preserve">, </w:t>
      </w:r>
      <w:r w:rsidR="002E1222">
        <w:t xml:space="preserve">and grantees which met the </w:t>
      </w:r>
      <w:r w:rsidR="003B1642">
        <w:t xml:space="preserve">HSE enrollment/attainment criteria were able to access </w:t>
      </w:r>
      <w:r w:rsidR="002F4384">
        <w:t>33.33% of the PY’22-’23 PBF holdback</w:t>
      </w:r>
      <w:r w:rsidR="001257AE">
        <w:t xml:space="preserve">, which </w:t>
      </w:r>
      <w:r w:rsidR="001169F9">
        <w:t>will be</w:t>
      </w:r>
      <w:r w:rsidR="001257AE">
        <w:t xml:space="preserve"> relea</w:t>
      </w:r>
      <w:r w:rsidR="00124F1B">
        <w:t>s</w:t>
      </w:r>
      <w:r w:rsidR="001257AE">
        <w:t>e</w:t>
      </w:r>
      <w:r w:rsidR="003B1642">
        <w:t>d</w:t>
      </w:r>
      <w:r w:rsidR="001257AE">
        <w:t xml:space="preserve"> to those performing grantees </w:t>
      </w:r>
      <w:r w:rsidR="001169F9">
        <w:t xml:space="preserve">in October 2022 (due to the </w:t>
      </w:r>
      <w:r w:rsidR="002E05DD">
        <w:t>exit measure requirement of this criteria)</w:t>
      </w:r>
      <w:r w:rsidR="001257AE">
        <w:t>.</w:t>
      </w:r>
    </w:p>
    <w:p w14:paraId="3807A421" w14:textId="6EC022E4" w:rsidR="001257AE" w:rsidRDefault="001257AE" w:rsidP="00F46E39">
      <w:r>
        <w:t xml:space="preserve">Staff </w:t>
      </w:r>
      <w:r w:rsidR="00D60A82">
        <w:t xml:space="preserve">recommend </w:t>
      </w:r>
      <w:r w:rsidR="00843EC9">
        <w:t>the following PBF criteria for PY’22-’23</w:t>
      </w:r>
      <w:r w:rsidR="00124F1B">
        <w:t xml:space="preserve">, </w:t>
      </w:r>
      <w:r w:rsidR="00B32CC0">
        <w:t>in order to allow grantees to access</w:t>
      </w:r>
      <w:r w:rsidR="00124F1B">
        <w:t xml:space="preserve"> the remaining PBF holdback funds from the PY’22-</w:t>
      </w:r>
      <w:r w:rsidR="00DA36B3">
        <w:t>‘</w:t>
      </w:r>
      <w:r w:rsidR="00124F1B">
        <w:t>23 allocation</w:t>
      </w:r>
      <w:r w:rsidR="00B32CC0">
        <w:t>:</w:t>
      </w:r>
    </w:p>
    <w:p w14:paraId="4E80FF76" w14:textId="250E3707" w:rsidR="00843EC9" w:rsidRPr="002E05DD" w:rsidRDefault="00843EC9" w:rsidP="00B32CC0">
      <w:pPr>
        <w:rPr>
          <w:spacing w:val="-2"/>
        </w:rPr>
      </w:pPr>
      <w:r w:rsidRPr="002E05DD">
        <w:rPr>
          <w:b/>
          <w:bCs/>
        </w:rPr>
        <w:t>Rapid</w:t>
      </w:r>
      <w:r w:rsidRPr="002E05DD">
        <w:rPr>
          <w:b/>
          <w:bCs/>
          <w:spacing w:val="-7"/>
        </w:rPr>
        <w:t xml:space="preserve"> </w:t>
      </w:r>
      <w:r w:rsidRPr="002E05DD">
        <w:rPr>
          <w:b/>
          <w:bCs/>
        </w:rPr>
        <w:t>Enrollment</w:t>
      </w:r>
      <w:r w:rsidRPr="002E05DD">
        <w:rPr>
          <w:spacing w:val="-7"/>
        </w:rPr>
        <w:t xml:space="preserve"> </w:t>
      </w:r>
      <w:r w:rsidRPr="002E05DD">
        <w:rPr>
          <w:spacing w:val="-8"/>
        </w:rPr>
        <w:t xml:space="preserve">to access </w:t>
      </w:r>
      <w:r w:rsidRPr="002E05DD">
        <w:t>33.33%</w:t>
      </w:r>
      <w:r w:rsidRPr="002E05DD">
        <w:rPr>
          <w:spacing w:val="-6"/>
        </w:rPr>
        <w:t xml:space="preserve"> </w:t>
      </w:r>
      <w:r w:rsidRPr="002E05DD">
        <w:t>of</w:t>
      </w:r>
      <w:r w:rsidR="00CB6019" w:rsidRPr="002E05DD">
        <w:rPr>
          <w:spacing w:val="-8"/>
        </w:rPr>
        <w:t xml:space="preserve"> the remaining </w:t>
      </w:r>
      <w:r w:rsidRPr="002E05DD">
        <w:t>PY</w:t>
      </w:r>
      <w:r w:rsidR="00CB6019" w:rsidRPr="002E05DD">
        <w:t>’</w:t>
      </w:r>
      <w:r w:rsidRPr="002E05DD">
        <w:t>22</w:t>
      </w:r>
      <w:r w:rsidRPr="002E05DD">
        <w:rPr>
          <w:spacing w:val="-7"/>
        </w:rPr>
        <w:t xml:space="preserve"> </w:t>
      </w:r>
      <w:r w:rsidRPr="002E05DD">
        <w:t>PBF</w:t>
      </w:r>
      <w:r w:rsidRPr="002E05DD">
        <w:rPr>
          <w:spacing w:val="-8"/>
        </w:rPr>
        <w:t xml:space="preserve"> </w:t>
      </w:r>
      <w:r w:rsidR="00C65259" w:rsidRPr="002E05DD">
        <w:rPr>
          <w:spacing w:val="-2"/>
        </w:rPr>
        <w:t>h</w:t>
      </w:r>
      <w:r w:rsidRPr="002E05DD">
        <w:rPr>
          <w:spacing w:val="-2"/>
        </w:rPr>
        <w:t>oldback</w:t>
      </w:r>
    </w:p>
    <w:p w14:paraId="0CFE0687" w14:textId="2E9118F4" w:rsidR="00CB6019" w:rsidRPr="002E05DD" w:rsidRDefault="00554DA2" w:rsidP="00554DA2">
      <w:pPr>
        <w:pStyle w:val="ListParagraph"/>
        <w:widowControl w:val="0"/>
        <w:numPr>
          <w:ilvl w:val="0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2E05DD">
        <w:rPr>
          <w:b/>
          <w:bCs/>
        </w:rPr>
        <w:lastRenderedPageBreak/>
        <w:t>Description of Criteria</w:t>
      </w:r>
      <w:r w:rsidRPr="002E05DD">
        <w:t xml:space="preserve">: </w:t>
      </w:r>
      <w:r w:rsidR="00DF3A77" w:rsidRPr="002E05DD">
        <w:t>Grantees</w:t>
      </w:r>
      <w:r w:rsidR="00DF3A77" w:rsidRPr="002E05DD">
        <w:rPr>
          <w:spacing w:val="-9"/>
        </w:rPr>
        <w:t xml:space="preserve"> </w:t>
      </w:r>
      <w:r w:rsidR="00DF3A77" w:rsidRPr="002E05DD">
        <w:t>are</w:t>
      </w:r>
      <w:r w:rsidR="00DF3A77" w:rsidRPr="002E05DD">
        <w:rPr>
          <w:spacing w:val="-8"/>
        </w:rPr>
        <w:t xml:space="preserve"> </w:t>
      </w:r>
      <w:r w:rsidR="00DF3A77" w:rsidRPr="002E05DD">
        <w:t>awarded</w:t>
      </w:r>
      <w:r w:rsidR="00DF3A77" w:rsidRPr="002E05DD">
        <w:rPr>
          <w:spacing w:val="-8"/>
        </w:rPr>
        <w:t xml:space="preserve"> </w:t>
      </w:r>
      <w:r w:rsidR="00DF3A77" w:rsidRPr="002E05DD">
        <w:t>approximately</w:t>
      </w:r>
      <w:r w:rsidR="00DF3A77" w:rsidRPr="002E05DD">
        <w:rPr>
          <w:spacing w:val="-7"/>
        </w:rPr>
        <w:t xml:space="preserve"> </w:t>
      </w:r>
      <w:r w:rsidR="00DF3A77" w:rsidRPr="002E05DD">
        <w:t>33.33%</w:t>
      </w:r>
      <w:r w:rsidR="00DF3A77" w:rsidRPr="002E05DD">
        <w:rPr>
          <w:spacing w:val="-7"/>
        </w:rPr>
        <w:t xml:space="preserve"> </w:t>
      </w:r>
      <w:r w:rsidR="00DF3A77" w:rsidRPr="002E05DD">
        <w:t>of</w:t>
      </w:r>
      <w:r w:rsidR="00DF3A77" w:rsidRPr="002E05DD">
        <w:rPr>
          <w:spacing w:val="-8"/>
        </w:rPr>
        <w:t xml:space="preserve"> </w:t>
      </w:r>
      <w:r w:rsidR="00DF3A77" w:rsidRPr="002E05DD">
        <w:t>their</w:t>
      </w:r>
      <w:r w:rsidR="00DF3A77" w:rsidRPr="002E05DD">
        <w:rPr>
          <w:spacing w:val="-7"/>
        </w:rPr>
        <w:t xml:space="preserve"> </w:t>
      </w:r>
      <w:r w:rsidR="00DF3A77" w:rsidRPr="002E05DD">
        <w:t>PBF</w:t>
      </w:r>
      <w:r w:rsidR="00DF3A77" w:rsidRPr="002E05DD">
        <w:rPr>
          <w:spacing w:val="-8"/>
        </w:rPr>
        <w:t xml:space="preserve"> </w:t>
      </w:r>
      <w:r w:rsidR="00DF3A77" w:rsidRPr="002E05DD">
        <w:t>allocation</w:t>
      </w:r>
      <w:r w:rsidR="00DF3A77" w:rsidRPr="002E05DD">
        <w:rPr>
          <w:spacing w:val="-7"/>
        </w:rPr>
        <w:t xml:space="preserve"> </w:t>
      </w:r>
      <w:r w:rsidR="00DF3A77" w:rsidRPr="002E05DD">
        <w:t>if</w:t>
      </w:r>
      <w:r w:rsidR="00DF3A77" w:rsidRPr="002E05DD">
        <w:rPr>
          <w:spacing w:val="-8"/>
        </w:rPr>
        <w:t xml:space="preserve"> </w:t>
      </w:r>
      <w:r w:rsidR="00DF3A77" w:rsidRPr="002E05DD">
        <w:t>they</w:t>
      </w:r>
      <w:r w:rsidR="00DF3A77" w:rsidRPr="002E05DD">
        <w:rPr>
          <w:spacing w:val="-8"/>
        </w:rPr>
        <w:t xml:space="preserve"> </w:t>
      </w:r>
      <w:r w:rsidR="00DF3A77" w:rsidRPr="002E05DD">
        <w:rPr>
          <w:spacing w:val="-4"/>
        </w:rPr>
        <w:t xml:space="preserve">have </w:t>
      </w:r>
      <w:r w:rsidR="00DF3A77" w:rsidRPr="002E05DD">
        <w:t>met</w:t>
      </w:r>
      <w:r w:rsidR="00DF3A77" w:rsidRPr="002E05DD">
        <w:rPr>
          <w:spacing w:val="-8"/>
        </w:rPr>
        <w:t xml:space="preserve"> </w:t>
      </w:r>
      <w:r w:rsidR="00DF3A77" w:rsidRPr="002E05DD">
        <w:t>60%</w:t>
      </w:r>
      <w:r w:rsidR="00DF3A77" w:rsidRPr="002E05DD">
        <w:rPr>
          <w:spacing w:val="-7"/>
        </w:rPr>
        <w:t xml:space="preserve"> </w:t>
      </w:r>
      <w:r w:rsidR="00DF3A77" w:rsidRPr="002E05DD">
        <w:t>percent</w:t>
      </w:r>
      <w:r w:rsidR="00DF3A77" w:rsidRPr="002E05DD">
        <w:rPr>
          <w:spacing w:val="-8"/>
        </w:rPr>
        <w:t xml:space="preserve"> </w:t>
      </w:r>
      <w:r w:rsidR="00DF3A77" w:rsidRPr="002E05DD">
        <w:t>of</w:t>
      </w:r>
      <w:r w:rsidR="00DF3A77" w:rsidRPr="002E05DD">
        <w:rPr>
          <w:spacing w:val="-7"/>
        </w:rPr>
        <w:t xml:space="preserve"> </w:t>
      </w:r>
      <w:r w:rsidR="00DF3A77" w:rsidRPr="002E05DD">
        <w:t>their</w:t>
      </w:r>
      <w:r w:rsidR="00DF3A77" w:rsidRPr="002E05DD">
        <w:rPr>
          <w:spacing w:val="-7"/>
        </w:rPr>
        <w:t xml:space="preserve"> </w:t>
      </w:r>
      <w:r w:rsidR="00DF3A77" w:rsidRPr="002E05DD">
        <w:t>enrollment</w:t>
      </w:r>
      <w:r w:rsidR="00DF3A77" w:rsidRPr="002E05DD">
        <w:rPr>
          <w:spacing w:val="-7"/>
        </w:rPr>
        <w:t xml:space="preserve"> </w:t>
      </w:r>
      <w:r w:rsidR="00DF3A77" w:rsidRPr="002E05DD">
        <w:t>target</w:t>
      </w:r>
      <w:r w:rsidR="00DF3A77" w:rsidRPr="002E05DD">
        <w:rPr>
          <w:spacing w:val="-8"/>
        </w:rPr>
        <w:t xml:space="preserve"> </w:t>
      </w:r>
      <w:r w:rsidR="00DF3A77" w:rsidRPr="002E05DD">
        <w:t>for</w:t>
      </w:r>
      <w:r w:rsidR="00DF3A77" w:rsidRPr="002E05DD">
        <w:rPr>
          <w:spacing w:val="-8"/>
        </w:rPr>
        <w:t xml:space="preserve"> </w:t>
      </w:r>
      <w:r w:rsidR="00DF3A77" w:rsidRPr="002E05DD">
        <w:t>participants</w:t>
      </w:r>
      <w:r w:rsidR="00DF3A77" w:rsidRPr="002E05DD">
        <w:rPr>
          <w:spacing w:val="-8"/>
        </w:rPr>
        <w:t xml:space="preserve"> </w:t>
      </w:r>
      <w:r w:rsidR="00DF3A77" w:rsidRPr="002E05DD">
        <w:t>with</w:t>
      </w:r>
      <w:r w:rsidR="00DF3A77" w:rsidRPr="002E05DD">
        <w:rPr>
          <w:spacing w:val="-7"/>
        </w:rPr>
        <w:t xml:space="preserve"> </w:t>
      </w:r>
      <w:r w:rsidR="00DF3A77" w:rsidRPr="002E05DD">
        <w:t>a</w:t>
      </w:r>
      <w:r w:rsidR="00DF3A77" w:rsidRPr="002E05DD">
        <w:rPr>
          <w:spacing w:val="-8"/>
        </w:rPr>
        <w:t xml:space="preserve"> </w:t>
      </w:r>
      <w:r w:rsidR="00DF3A77" w:rsidRPr="002E05DD">
        <w:t>period</w:t>
      </w:r>
      <w:r w:rsidR="00DF3A77" w:rsidRPr="002E05DD">
        <w:rPr>
          <w:spacing w:val="-6"/>
        </w:rPr>
        <w:t xml:space="preserve"> </w:t>
      </w:r>
      <w:r w:rsidR="00DF3A77" w:rsidRPr="002E05DD">
        <w:rPr>
          <w:spacing w:val="-5"/>
        </w:rPr>
        <w:t xml:space="preserve">of </w:t>
      </w:r>
      <w:r w:rsidR="00DF3A77" w:rsidRPr="002E05DD">
        <w:t>participation</w:t>
      </w:r>
      <w:r w:rsidR="00DF3A77" w:rsidRPr="002E05DD">
        <w:rPr>
          <w:spacing w:val="-10"/>
        </w:rPr>
        <w:t xml:space="preserve"> </w:t>
      </w:r>
      <w:r w:rsidR="00DF3A77" w:rsidRPr="002E05DD">
        <w:t>by</w:t>
      </w:r>
      <w:r w:rsidR="00DF3A77" w:rsidRPr="002E05DD">
        <w:rPr>
          <w:spacing w:val="-9"/>
        </w:rPr>
        <w:t xml:space="preserve"> </w:t>
      </w:r>
      <w:r w:rsidR="00DF3A77" w:rsidRPr="002E05DD">
        <w:t>the</w:t>
      </w:r>
      <w:r w:rsidR="00DF3A77" w:rsidRPr="002E05DD">
        <w:rPr>
          <w:spacing w:val="-7"/>
        </w:rPr>
        <w:t xml:space="preserve"> </w:t>
      </w:r>
      <w:r w:rsidR="00DF3A77" w:rsidRPr="002E05DD">
        <w:t>second</w:t>
      </w:r>
      <w:r w:rsidR="00DF3A77" w:rsidRPr="002E05DD">
        <w:rPr>
          <w:spacing w:val="-8"/>
        </w:rPr>
        <w:t xml:space="preserve"> </w:t>
      </w:r>
      <w:r w:rsidR="00DF3A77" w:rsidRPr="002E05DD">
        <w:t>quarter</w:t>
      </w:r>
      <w:r w:rsidR="00DF3A77" w:rsidRPr="002E05DD">
        <w:rPr>
          <w:spacing w:val="-9"/>
        </w:rPr>
        <w:t xml:space="preserve"> </w:t>
      </w:r>
      <w:r w:rsidR="00DF3A77" w:rsidRPr="002E05DD">
        <w:t>of</w:t>
      </w:r>
      <w:r w:rsidR="00DF3A77" w:rsidRPr="002E05DD">
        <w:rPr>
          <w:spacing w:val="-8"/>
        </w:rPr>
        <w:t xml:space="preserve"> </w:t>
      </w:r>
      <w:r w:rsidR="00DF3A77" w:rsidRPr="002E05DD">
        <w:t>the</w:t>
      </w:r>
      <w:r w:rsidR="00DF3A77" w:rsidRPr="002E05DD">
        <w:rPr>
          <w:spacing w:val="-8"/>
        </w:rPr>
        <w:t xml:space="preserve"> </w:t>
      </w:r>
      <w:r w:rsidR="00DF3A77" w:rsidRPr="002E05DD">
        <w:t>program</w:t>
      </w:r>
      <w:r w:rsidR="00DF3A77" w:rsidRPr="002E05DD">
        <w:rPr>
          <w:spacing w:val="-7"/>
        </w:rPr>
        <w:t xml:space="preserve"> </w:t>
      </w:r>
      <w:r w:rsidR="00DF3A77" w:rsidRPr="002E05DD">
        <w:rPr>
          <w:spacing w:val="-2"/>
        </w:rPr>
        <w:t>year.</w:t>
      </w:r>
    </w:p>
    <w:p w14:paraId="0E6377AE" w14:textId="2F7B585D" w:rsidR="00DF3A77" w:rsidRPr="002E05DD" w:rsidRDefault="00DF3A77" w:rsidP="00554DA2">
      <w:pPr>
        <w:pStyle w:val="ListParagraph"/>
        <w:widowControl w:val="0"/>
        <w:numPr>
          <w:ilvl w:val="1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2E05DD">
        <w:rPr>
          <w:b/>
        </w:rPr>
        <w:t>Denominator:</w:t>
      </w:r>
      <w:r w:rsidRPr="002E05DD">
        <w:rPr>
          <w:b/>
          <w:spacing w:val="-9"/>
        </w:rPr>
        <w:t xml:space="preserve"> </w:t>
      </w:r>
      <w:r w:rsidRPr="002E05DD">
        <w:t>The</w:t>
      </w:r>
      <w:r w:rsidRPr="002E05DD">
        <w:rPr>
          <w:spacing w:val="-10"/>
        </w:rPr>
        <w:t xml:space="preserve"> </w:t>
      </w:r>
      <w:r w:rsidRPr="002E05DD">
        <w:t>unduplicated</w:t>
      </w:r>
      <w:r w:rsidRPr="002E05DD">
        <w:rPr>
          <w:spacing w:val="-11"/>
        </w:rPr>
        <w:t xml:space="preserve"> </w:t>
      </w:r>
      <w:r w:rsidRPr="002E05DD">
        <w:t>enrollment</w:t>
      </w:r>
      <w:r w:rsidRPr="002E05DD">
        <w:rPr>
          <w:spacing w:val="-11"/>
        </w:rPr>
        <w:t xml:space="preserve"> </w:t>
      </w:r>
      <w:r w:rsidRPr="002E05DD">
        <w:t>target</w:t>
      </w:r>
      <w:r w:rsidRPr="002E05DD">
        <w:rPr>
          <w:spacing w:val="-10"/>
        </w:rPr>
        <w:t xml:space="preserve"> </w:t>
      </w:r>
      <w:r w:rsidRPr="002E05DD">
        <w:t>for</w:t>
      </w:r>
      <w:r w:rsidRPr="002E05DD">
        <w:rPr>
          <w:spacing w:val="-12"/>
        </w:rPr>
        <w:t xml:space="preserve"> </w:t>
      </w:r>
      <w:r w:rsidRPr="002E05DD">
        <w:t>total</w:t>
      </w:r>
      <w:r w:rsidRPr="002E05DD">
        <w:rPr>
          <w:spacing w:val="-11"/>
        </w:rPr>
        <w:t xml:space="preserve"> </w:t>
      </w:r>
      <w:r w:rsidRPr="002E05DD">
        <w:t>participants</w:t>
      </w:r>
      <w:r w:rsidRPr="002E05DD">
        <w:rPr>
          <w:spacing w:val="-12"/>
        </w:rPr>
        <w:t xml:space="preserve"> </w:t>
      </w:r>
      <w:r w:rsidRPr="002E05DD">
        <w:rPr>
          <w:spacing w:val="-2"/>
        </w:rPr>
        <w:t>served</w:t>
      </w:r>
      <w:r w:rsidR="00CB6019" w:rsidRPr="002E05DD">
        <w:t xml:space="preserve"> </w:t>
      </w:r>
      <w:r w:rsidRPr="002E05DD">
        <w:t>in</w:t>
      </w:r>
      <w:r w:rsidRPr="002E05DD">
        <w:rPr>
          <w:spacing w:val="-4"/>
        </w:rPr>
        <w:t xml:space="preserve"> </w:t>
      </w:r>
      <w:r w:rsidRPr="002E05DD">
        <w:rPr>
          <w:spacing w:val="-2"/>
        </w:rPr>
        <w:t>PY</w:t>
      </w:r>
      <w:r w:rsidR="00CB6019" w:rsidRPr="002E05DD">
        <w:rPr>
          <w:spacing w:val="-2"/>
        </w:rPr>
        <w:t>’22</w:t>
      </w:r>
      <w:r w:rsidRPr="002E05DD">
        <w:rPr>
          <w:spacing w:val="-2"/>
        </w:rPr>
        <w:t>.</w:t>
      </w:r>
    </w:p>
    <w:p w14:paraId="3E38673D" w14:textId="28B2681E" w:rsidR="00DF3A77" w:rsidRPr="002E05DD" w:rsidRDefault="00DF3A77" w:rsidP="00554DA2">
      <w:pPr>
        <w:pStyle w:val="ListParagraph"/>
        <w:widowControl w:val="0"/>
        <w:numPr>
          <w:ilvl w:val="1"/>
          <w:numId w:val="38"/>
        </w:numPr>
        <w:tabs>
          <w:tab w:val="left" w:pos="2128"/>
          <w:tab w:val="left" w:pos="2129"/>
        </w:tabs>
        <w:autoSpaceDE w:val="0"/>
        <w:autoSpaceDN w:val="0"/>
        <w:spacing w:before="8" w:after="0" w:line="240" w:lineRule="auto"/>
      </w:pPr>
      <w:r w:rsidRPr="002E05DD">
        <w:rPr>
          <w:b/>
        </w:rPr>
        <w:t>Numerator:</w:t>
      </w:r>
      <w:r w:rsidRPr="002E05DD">
        <w:rPr>
          <w:b/>
          <w:spacing w:val="-7"/>
        </w:rPr>
        <w:t xml:space="preserve"> </w:t>
      </w:r>
      <w:r w:rsidRPr="002E05DD">
        <w:t>The</w:t>
      </w:r>
      <w:r w:rsidRPr="002E05DD">
        <w:rPr>
          <w:spacing w:val="-10"/>
        </w:rPr>
        <w:t xml:space="preserve"> </w:t>
      </w:r>
      <w:r w:rsidRPr="002E05DD">
        <w:t>number</w:t>
      </w:r>
      <w:r w:rsidRPr="002E05DD">
        <w:rPr>
          <w:spacing w:val="-9"/>
        </w:rPr>
        <w:t xml:space="preserve"> </w:t>
      </w:r>
      <w:r w:rsidRPr="002E05DD">
        <w:t>of</w:t>
      </w:r>
      <w:r w:rsidRPr="002E05DD">
        <w:rPr>
          <w:spacing w:val="-8"/>
        </w:rPr>
        <w:t xml:space="preserve"> </w:t>
      </w:r>
      <w:r w:rsidRPr="002E05DD">
        <w:t>individuals</w:t>
      </w:r>
      <w:r w:rsidRPr="002E05DD">
        <w:rPr>
          <w:spacing w:val="-8"/>
        </w:rPr>
        <w:t xml:space="preserve"> </w:t>
      </w:r>
      <w:r w:rsidRPr="002E05DD">
        <w:t>who</w:t>
      </w:r>
      <w:r w:rsidRPr="002E05DD">
        <w:rPr>
          <w:spacing w:val="-10"/>
        </w:rPr>
        <w:t xml:space="preserve"> </w:t>
      </w:r>
      <w:r w:rsidRPr="002E05DD">
        <w:t>have</w:t>
      </w:r>
      <w:r w:rsidRPr="002E05DD">
        <w:rPr>
          <w:spacing w:val="-8"/>
        </w:rPr>
        <w:t xml:space="preserve"> </w:t>
      </w:r>
      <w:r w:rsidRPr="002E05DD">
        <w:t>a</w:t>
      </w:r>
      <w:r w:rsidRPr="002E05DD">
        <w:rPr>
          <w:spacing w:val="-9"/>
        </w:rPr>
        <w:t xml:space="preserve"> </w:t>
      </w:r>
      <w:r w:rsidRPr="002E05DD">
        <w:t>period</w:t>
      </w:r>
      <w:r w:rsidRPr="002E05DD">
        <w:rPr>
          <w:spacing w:val="-9"/>
        </w:rPr>
        <w:t xml:space="preserve"> </w:t>
      </w:r>
      <w:r w:rsidRPr="002E05DD">
        <w:t>of</w:t>
      </w:r>
      <w:r w:rsidRPr="002E05DD">
        <w:rPr>
          <w:spacing w:val="-10"/>
        </w:rPr>
        <w:t xml:space="preserve"> </w:t>
      </w:r>
      <w:r w:rsidRPr="002E05DD">
        <w:t>participation</w:t>
      </w:r>
      <w:r w:rsidRPr="002E05DD">
        <w:rPr>
          <w:spacing w:val="-9"/>
        </w:rPr>
        <w:t xml:space="preserve"> </w:t>
      </w:r>
      <w:r w:rsidRPr="002E05DD">
        <w:rPr>
          <w:spacing w:val="-5"/>
        </w:rPr>
        <w:t>in</w:t>
      </w:r>
      <w:r w:rsidR="00CB6019" w:rsidRPr="002E05DD">
        <w:t xml:space="preserve"> </w:t>
      </w:r>
      <w:r w:rsidRPr="002E05DD">
        <w:t>between</w:t>
      </w:r>
      <w:r w:rsidRPr="002E05DD">
        <w:rPr>
          <w:spacing w:val="-8"/>
        </w:rPr>
        <w:t xml:space="preserve"> </w:t>
      </w:r>
      <w:r w:rsidRPr="002E05DD">
        <w:t>July</w:t>
      </w:r>
      <w:r w:rsidRPr="002E05DD">
        <w:rPr>
          <w:spacing w:val="-8"/>
        </w:rPr>
        <w:t xml:space="preserve"> </w:t>
      </w:r>
      <w:r w:rsidRPr="002E05DD">
        <w:t>1,</w:t>
      </w:r>
      <w:r w:rsidRPr="002E05DD">
        <w:rPr>
          <w:spacing w:val="-8"/>
        </w:rPr>
        <w:t xml:space="preserve"> </w:t>
      </w:r>
      <w:r w:rsidRPr="002E05DD">
        <w:t>and</w:t>
      </w:r>
      <w:r w:rsidRPr="002E05DD">
        <w:rPr>
          <w:spacing w:val="-7"/>
        </w:rPr>
        <w:t xml:space="preserve"> </w:t>
      </w:r>
      <w:r w:rsidRPr="002E05DD">
        <w:t>December</w:t>
      </w:r>
      <w:r w:rsidRPr="002E05DD">
        <w:rPr>
          <w:spacing w:val="-7"/>
        </w:rPr>
        <w:t xml:space="preserve"> </w:t>
      </w:r>
      <w:r w:rsidRPr="002E05DD">
        <w:rPr>
          <w:spacing w:val="-5"/>
        </w:rPr>
        <w:t>31</w:t>
      </w:r>
      <w:r w:rsidR="00554DA2" w:rsidRPr="002E05DD">
        <w:rPr>
          <w:spacing w:val="-5"/>
        </w:rPr>
        <w:t>, 2022</w:t>
      </w:r>
      <w:r w:rsidRPr="002E05DD">
        <w:rPr>
          <w:spacing w:val="-5"/>
        </w:rPr>
        <w:t>.</w:t>
      </w:r>
    </w:p>
    <w:p w14:paraId="22DBBF4C" w14:textId="26E65153" w:rsidR="00DF3A77" w:rsidRDefault="00DF3A77" w:rsidP="00F46E39">
      <w:pPr>
        <w:pStyle w:val="ListParagraph"/>
        <w:widowControl w:val="0"/>
        <w:numPr>
          <w:ilvl w:val="0"/>
          <w:numId w:val="38"/>
        </w:numPr>
        <w:tabs>
          <w:tab w:val="left" w:pos="1407"/>
          <w:tab w:val="left" w:pos="1408"/>
        </w:tabs>
        <w:autoSpaceDE w:val="0"/>
        <w:autoSpaceDN w:val="0"/>
        <w:spacing w:before="168" w:after="0" w:line="240" w:lineRule="auto"/>
      </w:pPr>
      <w:r w:rsidRPr="002E05DD">
        <w:rPr>
          <w:b/>
        </w:rPr>
        <w:t>Release</w:t>
      </w:r>
      <w:r w:rsidRPr="002E05DD">
        <w:rPr>
          <w:b/>
          <w:spacing w:val="21"/>
        </w:rPr>
        <w:t xml:space="preserve"> </w:t>
      </w:r>
      <w:r w:rsidRPr="002E05DD">
        <w:rPr>
          <w:b/>
        </w:rPr>
        <w:t>of</w:t>
      </w:r>
      <w:r w:rsidRPr="002E05DD">
        <w:rPr>
          <w:b/>
          <w:spacing w:val="21"/>
        </w:rPr>
        <w:t xml:space="preserve"> </w:t>
      </w:r>
      <w:r w:rsidRPr="002E05DD">
        <w:rPr>
          <w:b/>
        </w:rPr>
        <w:t>Funds:</w:t>
      </w:r>
      <w:r w:rsidRPr="002E05DD">
        <w:rPr>
          <w:b/>
          <w:spacing w:val="27"/>
        </w:rPr>
        <w:t xml:space="preserve"> </w:t>
      </w:r>
      <w:r w:rsidRPr="002E05DD">
        <w:t>Funds</w:t>
      </w:r>
      <w:r w:rsidRPr="002E05DD">
        <w:rPr>
          <w:spacing w:val="21"/>
        </w:rPr>
        <w:t xml:space="preserve"> </w:t>
      </w:r>
      <w:r w:rsidRPr="002E05DD">
        <w:t>for</w:t>
      </w:r>
      <w:r w:rsidRPr="002E05DD">
        <w:rPr>
          <w:spacing w:val="21"/>
        </w:rPr>
        <w:t xml:space="preserve"> </w:t>
      </w:r>
      <w:r w:rsidRPr="002E05DD">
        <w:t>achievement</w:t>
      </w:r>
      <w:r w:rsidRPr="002E05DD">
        <w:rPr>
          <w:spacing w:val="20"/>
        </w:rPr>
        <w:t xml:space="preserve"> </w:t>
      </w:r>
      <w:r w:rsidRPr="002E05DD">
        <w:t>of</w:t>
      </w:r>
      <w:r w:rsidRPr="002E05DD">
        <w:rPr>
          <w:spacing w:val="21"/>
        </w:rPr>
        <w:t xml:space="preserve"> </w:t>
      </w:r>
      <w:r w:rsidRPr="002E05DD">
        <w:t>this</w:t>
      </w:r>
      <w:r w:rsidRPr="002E05DD">
        <w:rPr>
          <w:spacing w:val="21"/>
        </w:rPr>
        <w:t xml:space="preserve"> </w:t>
      </w:r>
      <w:r w:rsidRPr="002E05DD">
        <w:t>measure</w:t>
      </w:r>
      <w:r w:rsidRPr="002E05DD">
        <w:rPr>
          <w:spacing w:val="22"/>
        </w:rPr>
        <w:t xml:space="preserve"> </w:t>
      </w:r>
      <w:r w:rsidRPr="002E05DD">
        <w:t>will</w:t>
      </w:r>
      <w:r w:rsidRPr="002E05DD">
        <w:rPr>
          <w:spacing w:val="21"/>
        </w:rPr>
        <w:t xml:space="preserve"> </w:t>
      </w:r>
      <w:r w:rsidRPr="002E05DD">
        <w:t>be</w:t>
      </w:r>
      <w:r w:rsidRPr="002E05DD">
        <w:rPr>
          <w:spacing w:val="20"/>
        </w:rPr>
        <w:t xml:space="preserve"> </w:t>
      </w:r>
      <w:r w:rsidRPr="002E05DD">
        <w:t>released</w:t>
      </w:r>
      <w:r w:rsidRPr="002E05DD">
        <w:rPr>
          <w:spacing w:val="21"/>
        </w:rPr>
        <w:t xml:space="preserve"> </w:t>
      </w:r>
      <w:r w:rsidRPr="002E05DD">
        <w:t>after</w:t>
      </w:r>
      <w:r w:rsidRPr="002E05DD">
        <w:rPr>
          <w:spacing w:val="21"/>
        </w:rPr>
        <w:t xml:space="preserve"> </w:t>
      </w:r>
      <w:r w:rsidRPr="002E05DD">
        <w:rPr>
          <w:spacing w:val="-5"/>
        </w:rPr>
        <w:t>the</w:t>
      </w:r>
      <w:r w:rsidR="00EF5E7B" w:rsidRPr="002E05DD">
        <w:rPr>
          <w:spacing w:val="-5"/>
        </w:rPr>
        <w:t xml:space="preserve"> </w:t>
      </w:r>
      <w:r w:rsidRPr="002E05DD">
        <w:t>second</w:t>
      </w:r>
      <w:r w:rsidRPr="002E05DD">
        <w:rPr>
          <w:spacing w:val="-7"/>
        </w:rPr>
        <w:t xml:space="preserve"> </w:t>
      </w:r>
      <w:r w:rsidRPr="002E05DD">
        <w:t>quarter</w:t>
      </w:r>
      <w:r w:rsidRPr="002E05DD">
        <w:rPr>
          <w:spacing w:val="-7"/>
        </w:rPr>
        <w:t xml:space="preserve"> </w:t>
      </w:r>
      <w:r w:rsidRPr="002E05DD">
        <w:t>of</w:t>
      </w:r>
      <w:r w:rsidRPr="002E05DD">
        <w:rPr>
          <w:spacing w:val="-6"/>
        </w:rPr>
        <w:t xml:space="preserve"> </w:t>
      </w:r>
      <w:r w:rsidRPr="002E05DD">
        <w:rPr>
          <w:spacing w:val="-4"/>
        </w:rPr>
        <w:t>PY</w:t>
      </w:r>
      <w:r w:rsidR="00554DA2" w:rsidRPr="002E05DD">
        <w:rPr>
          <w:spacing w:val="-4"/>
        </w:rPr>
        <w:t>’</w:t>
      </w:r>
      <w:r w:rsidRPr="002E05DD">
        <w:rPr>
          <w:spacing w:val="-4"/>
        </w:rPr>
        <w:t>2</w:t>
      </w:r>
      <w:r w:rsidR="00554DA2" w:rsidRPr="002E05DD">
        <w:rPr>
          <w:spacing w:val="-4"/>
        </w:rPr>
        <w:t>2, which ends December 31, 2022</w:t>
      </w:r>
      <w:r w:rsidRPr="002E05DD">
        <w:rPr>
          <w:spacing w:val="-4"/>
        </w:rPr>
        <w:t>.</w:t>
      </w:r>
    </w:p>
    <w:p w14:paraId="4B776BEF" w14:textId="328AD42D" w:rsidR="00643125" w:rsidRDefault="00643125" w:rsidP="00643125">
      <w:pPr>
        <w:pStyle w:val="Heading1"/>
        <w:tabs>
          <w:tab w:val="left" w:pos="1047"/>
          <w:tab w:val="left" w:pos="1048"/>
          <w:tab w:val="left" w:pos="1407"/>
        </w:tabs>
        <w:spacing w:before="168"/>
        <w:jc w:val="left"/>
      </w:pPr>
      <w:r>
        <w:t>Accelerated</w:t>
      </w:r>
      <w:r>
        <w:rPr>
          <w:spacing w:val="-8"/>
        </w:rPr>
        <w:t xml:space="preserve"> </w:t>
      </w:r>
      <w:r>
        <w:t>MSG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33.33%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PY2</w:t>
      </w:r>
      <w:r w:rsidR="00214801">
        <w:t>2</w:t>
      </w:r>
      <w:r>
        <w:rPr>
          <w:spacing w:val="-7"/>
        </w:rPr>
        <w:t xml:space="preserve"> </w:t>
      </w:r>
      <w:r>
        <w:t>PBF</w:t>
      </w:r>
      <w:r>
        <w:rPr>
          <w:spacing w:val="-8"/>
        </w:rPr>
        <w:t xml:space="preserve"> </w:t>
      </w:r>
      <w:r>
        <w:rPr>
          <w:spacing w:val="-2"/>
        </w:rPr>
        <w:t>Holdback</w:t>
      </w:r>
    </w:p>
    <w:p w14:paraId="35F544DE" w14:textId="2E3E0F44" w:rsidR="00123D46" w:rsidRDefault="00ED2552" w:rsidP="004E5AD5">
      <w:pPr>
        <w:pStyle w:val="ListParagraph"/>
        <w:widowControl w:val="0"/>
        <w:numPr>
          <w:ilvl w:val="0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2E05DD">
        <w:rPr>
          <w:b/>
          <w:bCs/>
        </w:rPr>
        <w:t>Description of Criteria</w:t>
      </w:r>
      <w:r w:rsidRPr="002E05DD">
        <w:t xml:space="preserve">: </w:t>
      </w:r>
      <w:r w:rsidR="00643125" w:rsidRPr="004F19EE">
        <w:t>Grantees will be awarded approximately 33.33% of their PY</w:t>
      </w:r>
      <w:r w:rsidR="004E5AD5">
        <w:t>’</w:t>
      </w:r>
      <w:r w:rsidR="00643125" w:rsidRPr="004F19EE">
        <w:t>2</w:t>
      </w:r>
      <w:r w:rsidR="004E5AD5">
        <w:t>2</w:t>
      </w:r>
      <w:r w:rsidR="00643125" w:rsidRPr="004F19EE">
        <w:t xml:space="preserve"> </w:t>
      </w:r>
      <w:r w:rsidR="004E5AD5">
        <w:t>PBF holdback i</w:t>
      </w:r>
      <w:r w:rsidR="00643125" w:rsidRPr="004F19EE">
        <w:t>f, by March 31, 202</w:t>
      </w:r>
      <w:r w:rsidR="004E5AD5">
        <w:t>3</w:t>
      </w:r>
      <w:r w:rsidR="00643125" w:rsidRPr="004F19EE">
        <w:t>, participants enrolled in the first</w:t>
      </w:r>
      <w:r w:rsidR="00643125">
        <w:t xml:space="preserve"> </w:t>
      </w:r>
      <w:r w:rsidR="00643125" w:rsidRPr="004F19EE">
        <w:t xml:space="preserve">two quarters of the </w:t>
      </w:r>
      <w:r w:rsidR="004E5AD5">
        <w:t>PY</w:t>
      </w:r>
      <w:r w:rsidR="00643125" w:rsidRPr="004F19EE">
        <w:t xml:space="preserve"> meet the grantee’s MSG targets for PY</w:t>
      </w:r>
      <w:r w:rsidR="004E5AD5">
        <w:t>’</w:t>
      </w:r>
      <w:r w:rsidR="00643125" w:rsidRPr="004F19EE">
        <w:t>2</w:t>
      </w:r>
      <w:r w:rsidR="004E5AD5">
        <w:t>2</w:t>
      </w:r>
      <w:r w:rsidR="00643125" w:rsidRPr="004F19EE">
        <w:t>. The MSG target for this measure is available in both the December 202</w:t>
      </w:r>
      <w:r w:rsidR="004E5AD5">
        <w:t xml:space="preserve">2 </w:t>
      </w:r>
      <w:r w:rsidR="00643125" w:rsidRPr="004F19EE">
        <w:t>Contracted</w:t>
      </w:r>
      <w:r w:rsidR="00123D46" w:rsidRPr="004F19EE">
        <w:t xml:space="preserve"> </w:t>
      </w:r>
      <w:r w:rsidR="00643125" w:rsidRPr="004F19EE">
        <w:t>MSG Report and the Monthly Performance Report.</w:t>
      </w:r>
    </w:p>
    <w:p w14:paraId="194405EE" w14:textId="1D9B0CEA" w:rsidR="00643125" w:rsidRDefault="00643125" w:rsidP="004E5AD5">
      <w:pPr>
        <w:pStyle w:val="ListParagraph"/>
        <w:widowControl w:val="0"/>
        <w:numPr>
          <w:ilvl w:val="1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4E5AD5">
        <w:rPr>
          <w:b/>
          <w:bCs/>
        </w:rPr>
        <w:t>Denominator</w:t>
      </w:r>
      <w:r w:rsidRPr="004F19EE">
        <w:t>: The unduplicated number of AEL participants served between</w:t>
      </w:r>
      <w:r w:rsidR="00123D46" w:rsidRPr="004F19EE">
        <w:t xml:space="preserve"> </w:t>
      </w:r>
      <w:r>
        <w:t>July</w:t>
      </w:r>
      <w:r w:rsidRPr="004F19EE">
        <w:t xml:space="preserve"> </w:t>
      </w:r>
      <w:r>
        <w:t>1,</w:t>
      </w:r>
      <w:r w:rsidRPr="004F19EE">
        <w:t xml:space="preserve"> </w:t>
      </w:r>
      <w:r>
        <w:t>202</w:t>
      </w:r>
      <w:r w:rsidR="00EC4929">
        <w:t>2</w:t>
      </w:r>
      <w:r>
        <w:t>,</w:t>
      </w:r>
      <w:r w:rsidRPr="004F19EE">
        <w:t xml:space="preserve"> </w:t>
      </w:r>
      <w:r>
        <w:t>and</w:t>
      </w:r>
      <w:r w:rsidRPr="004F19EE">
        <w:t xml:space="preserve"> </w:t>
      </w:r>
      <w:r>
        <w:t>December</w:t>
      </w:r>
      <w:r w:rsidRPr="004F19EE">
        <w:t xml:space="preserve"> </w:t>
      </w:r>
      <w:r>
        <w:t>31,</w:t>
      </w:r>
      <w:r w:rsidRPr="004F19EE">
        <w:t xml:space="preserve"> 202</w:t>
      </w:r>
      <w:r w:rsidR="00EC4929">
        <w:t>2</w:t>
      </w:r>
      <w:r w:rsidRPr="004F19EE">
        <w:t>.</w:t>
      </w:r>
    </w:p>
    <w:p w14:paraId="749508BE" w14:textId="3726B04B" w:rsidR="00643125" w:rsidRDefault="00643125" w:rsidP="004E5AD5">
      <w:pPr>
        <w:pStyle w:val="ListParagraph"/>
        <w:widowControl w:val="0"/>
        <w:numPr>
          <w:ilvl w:val="1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4E5AD5">
        <w:rPr>
          <w:b/>
          <w:bCs/>
        </w:rPr>
        <w:t>Numerator</w:t>
      </w:r>
      <w:r w:rsidRPr="004F19EE">
        <w:t>: The number of participants in the denominator who achieve an</w:t>
      </w:r>
      <w:r w:rsidR="00123D46">
        <w:t xml:space="preserve"> </w:t>
      </w:r>
      <w:r w:rsidRPr="004F19EE">
        <w:t>approved MSG by March 31, 202</w:t>
      </w:r>
      <w:r w:rsidR="00214801">
        <w:t>3</w:t>
      </w:r>
      <w:r w:rsidRPr="004F19EE">
        <w:t>.</w:t>
      </w:r>
    </w:p>
    <w:p w14:paraId="26D738F6" w14:textId="20D0499E" w:rsidR="00643125" w:rsidRDefault="00643125" w:rsidP="004E5AD5">
      <w:pPr>
        <w:pStyle w:val="ListParagraph"/>
        <w:widowControl w:val="0"/>
        <w:numPr>
          <w:ilvl w:val="0"/>
          <w:numId w:val="38"/>
        </w:numPr>
        <w:tabs>
          <w:tab w:val="left" w:pos="2128"/>
          <w:tab w:val="left" w:pos="2129"/>
        </w:tabs>
        <w:autoSpaceDE w:val="0"/>
        <w:autoSpaceDN w:val="0"/>
        <w:spacing w:before="167" w:after="0" w:line="240" w:lineRule="auto"/>
      </w:pPr>
      <w:r w:rsidRPr="004E5AD5">
        <w:rPr>
          <w:b/>
          <w:bCs/>
        </w:rPr>
        <w:t>Release of Funds</w:t>
      </w:r>
      <w:r w:rsidRPr="004F19EE">
        <w:t>: Funds for achievement of this measure will be released after the</w:t>
      </w:r>
      <w:r w:rsidR="00123D46">
        <w:t xml:space="preserve"> </w:t>
      </w:r>
      <w:r w:rsidRPr="004F19EE">
        <w:t>third quarter of PY</w:t>
      </w:r>
      <w:r w:rsidR="004E5AD5">
        <w:t>’</w:t>
      </w:r>
      <w:r w:rsidRPr="004F19EE">
        <w:t>2</w:t>
      </w:r>
      <w:r w:rsidR="004E5AD5">
        <w:t xml:space="preserve">2, which ends March </w:t>
      </w:r>
      <w:r w:rsidR="0014512A">
        <w:t>30, 2023</w:t>
      </w:r>
      <w:r w:rsidRPr="004F19EE">
        <w:t>.</w:t>
      </w:r>
    </w:p>
    <w:p w14:paraId="29B10CBC" w14:textId="5416311A" w:rsidR="00643125" w:rsidRPr="004F19EE" w:rsidRDefault="00643125" w:rsidP="004F19EE">
      <w:pPr>
        <w:pStyle w:val="BodyText"/>
        <w:spacing w:before="180"/>
        <w:rPr>
          <w:rFonts w:ascii="Times New Roman" w:eastAsiaTheme="minorHAnsi" w:hAnsi="Times New Roman" w:cs="Times New Roman"/>
          <w:sz w:val="24"/>
          <w:szCs w:val="24"/>
        </w:rPr>
      </w:pPr>
    </w:p>
    <w:p w14:paraId="133E0286" w14:textId="7E6B6E0D" w:rsidR="00751AB8" w:rsidRDefault="0014512A" w:rsidP="00F46E39">
      <w:r>
        <w:t>The PBF criteria in Labor Code 315.007 requ</w:t>
      </w:r>
      <w:r w:rsidR="00DC69F7">
        <w:t xml:space="preserve">ires that 25% of an AEL grantee’s participants be enrolled in a HSE or Ability-to-Benefit </w:t>
      </w:r>
      <w:r w:rsidR="005C7411">
        <w:t xml:space="preserve">program, and that 70% of those participants which exit earn a TxCHSE or </w:t>
      </w:r>
      <w:r w:rsidR="0057190E">
        <w:t>postsecondary</w:t>
      </w:r>
      <w:r w:rsidR="005C7411">
        <w:t xml:space="preserve"> credential during the PY o</w:t>
      </w:r>
      <w:r w:rsidR="00DA36B3">
        <w:t>r</w:t>
      </w:r>
      <w:r w:rsidR="005C7411">
        <w:t xml:space="preserve"> by the end of the first quarter of the following PY. As current AEL grant awards end June 30, 202</w:t>
      </w:r>
      <w:r w:rsidR="002E00CB">
        <w:t>3</w:t>
      </w:r>
      <w:r w:rsidR="005C7411">
        <w:t xml:space="preserve">, and </w:t>
      </w:r>
      <w:r w:rsidR="00ED3EEA">
        <w:t xml:space="preserve">new </w:t>
      </w:r>
      <w:r w:rsidR="0057190E">
        <w:t>grant awards executed July 1, 2023, TWC is</w:t>
      </w:r>
      <w:r w:rsidR="008F23CF">
        <w:t xml:space="preserve"> unable to </w:t>
      </w:r>
      <w:r w:rsidR="002542C2">
        <w:t>measure</w:t>
      </w:r>
      <w:r w:rsidR="008F23CF">
        <w:t xml:space="preserve"> this </w:t>
      </w:r>
      <w:r w:rsidR="002542C2">
        <w:t xml:space="preserve">exit-based </w:t>
      </w:r>
      <w:r w:rsidR="008F23CF">
        <w:t xml:space="preserve">criteria for this </w:t>
      </w:r>
      <w:r w:rsidR="002542C2">
        <w:t>PY. However, staff will ensure PBF criteria under the new grant awards</w:t>
      </w:r>
      <w:r w:rsidR="00616E12">
        <w:t xml:space="preserve"> will </w:t>
      </w:r>
      <w:r w:rsidR="00DA36B3">
        <w:t>address</w:t>
      </w:r>
      <w:r w:rsidR="00155985">
        <w:t xml:space="preserve"> some of the performance measures </w:t>
      </w:r>
      <w:r w:rsidR="00355DDC">
        <w:t>starting with</w:t>
      </w:r>
      <w:r w:rsidR="00155985">
        <w:t xml:space="preserve"> the first year of new grant award</w:t>
      </w:r>
      <w:r w:rsidR="00355DDC">
        <w:t>s</w:t>
      </w:r>
      <w:r w:rsidR="009D2FA2">
        <w:t>.</w:t>
      </w:r>
    </w:p>
    <w:p w14:paraId="16275154" w14:textId="77777777" w:rsidR="00751AB8" w:rsidRDefault="00751AB8" w:rsidP="00751A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Decision Point</w:t>
      </w:r>
      <w:r>
        <w:rPr>
          <w:rStyle w:val="eop"/>
        </w:rPr>
        <w:t> </w:t>
      </w:r>
    </w:p>
    <w:p w14:paraId="7DFDDBD1" w14:textId="77777777" w:rsidR="00EB3CDB" w:rsidRDefault="00751AB8" w:rsidP="00751AB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Staff seeks direction on approving</w:t>
      </w:r>
      <w:r w:rsidR="00EB3CDB">
        <w:rPr>
          <w:rStyle w:val="normaltextrun"/>
          <w:rFonts w:eastAsiaTheme="majorEastAsia"/>
        </w:rPr>
        <w:t xml:space="preserve"> AEL PY’22-’23</w:t>
      </w:r>
    </w:p>
    <w:p w14:paraId="7D67AEBF" w14:textId="72271918" w:rsidR="00751AB8" w:rsidRDefault="00945AFD" w:rsidP="00EB3CDB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 xml:space="preserve">AEL contracted measures for as reflected in </w:t>
      </w:r>
      <w:r w:rsidR="00F7090D">
        <w:rPr>
          <w:rStyle w:val="eop"/>
        </w:rPr>
        <w:t>Tables 1, 2, and 3</w:t>
      </w:r>
      <w:r w:rsidR="00EB3CDB">
        <w:rPr>
          <w:rStyle w:val="eop"/>
        </w:rPr>
        <w:t>; and</w:t>
      </w:r>
    </w:p>
    <w:p w14:paraId="21F83263" w14:textId="2F57C918" w:rsidR="00F7090D" w:rsidRDefault="00207E83" w:rsidP="00EB3CDB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PBF criteria for PY’22-</w:t>
      </w:r>
      <w:r w:rsidR="00E14410">
        <w:rPr>
          <w:rStyle w:val="eop"/>
        </w:rPr>
        <w:t>’</w:t>
      </w:r>
      <w:r>
        <w:rPr>
          <w:rStyle w:val="eop"/>
        </w:rPr>
        <w:t>23</w:t>
      </w:r>
      <w:r w:rsidR="00E14410">
        <w:rPr>
          <w:rStyle w:val="eop"/>
        </w:rPr>
        <w:t xml:space="preserve">, noting that future grant awards that will go into effect July 1, 2023 will address </w:t>
      </w:r>
      <w:r w:rsidR="00F336E3">
        <w:rPr>
          <w:rStyle w:val="eop"/>
        </w:rPr>
        <w:t>criteria outlined in</w:t>
      </w:r>
      <w:r w:rsidR="00E14410">
        <w:rPr>
          <w:rStyle w:val="eop"/>
        </w:rPr>
        <w:t xml:space="preserve"> Labor Code 315.007 </w:t>
      </w:r>
      <w:r w:rsidR="00F336E3">
        <w:rPr>
          <w:rStyle w:val="eop"/>
        </w:rPr>
        <w:t>criteria, unless otherwise modified.</w:t>
      </w:r>
    </w:p>
    <w:p w14:paraId="34A42C67" w14:textId="77777777" w:rsidR="00751AB8" w:rsidRDefault="00751AB8" w:rsidP="00F46E39"/>
    <w:sectPr w:rsidR="00751AB8" w:rsidSect="008014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EA67" w14:textId="77777777" w:rsidR="00360AE7" w:rsidRDefault="00360AE7" w:rsidP="00C46CD5">
      <w:pPr>
        <w:spacing w:after="0" w:line="240" w:lineRule="auto"/>
      </w:pPr>
      <w:r>
        <w:separator/>
      </w:r>
    </w:p>
  </w:endnote>
  <w:endnote w:type="continuationSeparator" w:id="0">
    <w:p w14:paraId="1B2E5FA6" w14:textId="77777777" w:rsidR="00360AE7" w:rsidRDefault="00360AE7" w:rsidP="00C46CD5">
      <w:pPr>
        <w:spacing w:after="0" w:line="240" w:lineRule="auto"/>
      </w:pPr>
      <w:r>
        <w:continuationSeparator/>
      </w:r>
    </w:p>
  </w:endnote>
  <w:endnote w:type="continuationNotice" w:id="1">
    <w:p w14:paraId="0156DB03" w14:textId="77777777" w:rsidR="00360AE7" w:rsidRDefault="00360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6BBC" w14:textId="56237BCB" w:rsidR="002453C3" w:rsidRDefault="002453C3">
    <w:pPr>
      <w:pStyle w:val="Footer"/>
    </w:pPr>
  </w:p>
  <w:p w14:paraId="6B69C774" w14:textId="77777777" w:rsidR="004812DF" w:rsidRDefault="004812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35C8" w14:textId="77777777" w:rsidR="0014512A" w:rsidRDefault="0014512A" w:rsidP="002453C3">
    <w:pPr>
      <w:pStyle w:val="Footer"/>
      <w:tabs>
        <w:tab w:val="clear" w:pos="4680"/>
        <w:tab w:val="clear" w:pos="9360"/>
      </w:tabs>
      <w:ind w:left="-540"/>
    </w:pPr>
  </w:p>
  <w:p w14:paraId="2ADD84B2" w14:textId="4153A9B0" w:rsidR="00296FC5" w:rsidRPr="005A6D7D" w:rsidRDefault="00AE6A15" w:rsidP="002453C3">
    <w:pPr>
      <w:pStyle w:val="Footer"/>
      <w:tabs>
        <w:tab w:val="clear" w:pos="4680"/>
        <w:tab w:val="clear" w:pos="9360"/>
      </w:tabs>
      <w:ind w:left="-540"/>
    </w:pPr>
    <w:r w:rsidRPr="005A6D7D">
      <w:t xml:space="preserve">DP – </w:t>
    </w:r>
    <w:r w:rsidR="0014512A">
      <w:t>AEL Contracted Measures PY22-23</w:t>
    </w:r>
    <w:sdt>
      <w:sdtPr>
        <w:id w:val="14182149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512A">
          <w:tab/>
        </w:r>
        <w:r w:rsidR="0014512A">
          <w:tab/>
        </w:r>
        <w:r w:rsidR="0014512A">
          <w:tab/>
        </w:r>
        <w:r w:rsidRPr="005A6D7D">
          <w:fldChar w:fldCharType="begin"/>
        </w:r>
        <w:r w:rsidRPr="005A6D7D">
          <w:instrText xml:space="preserve"> PAGE   \* MERGEFORMAT </w:instrText>
        </w:r>
        <w:r w:rsidRPr="005A6D7D">
          <w:fldChar w:fldCharType="separate"/>
        </w:r>
        <w:r w:rsidR="00A27EAC">
          <w:rPr>
            <w:noProof/>
          </w:rPr>
          <w:t>1</w:t>
        </w:r>
        <w:r w:rsidRPr="005A6D7D">
          <w:rPr>
            <w:noProof/>
          </w:rPr>
          <w:fldChar w:fldCharType="end"/>
        </w:r>
      </w:sdtContent>
    </w:sdt>
  </w:p>
  <w:p w14:paraId="01E3F498" w14:textId="77777777" w:rsidR="004812DF" w:rsidRDefault="00481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3C8" w14:textId="77777777" w:rsidR="00D15165" w:rsidRDefault="00D15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C05A" w14:textId="77777777" w:rsidR="00360AE7" w:rsidRDefault="00360AE7" w:rsidP="00C46CD5">
      <w:pPr>
        <w:spacing w:after="0" w:line="240" w:lineRule="auto"/>
      </w:pPr>
      <w:r>
        <w:separator/>
      </w:r>
    </w:p>
  </w:footnote>
  <w:footnote w:type="continuationSeparator" w:id="0">
    <w:p w14:paraId="471B9DF7" w14:textId="77777777" w:rsidR="00360AE7" w:rsidRDefault="00360AE7" w:rsidP="00C46CD5">
      <w:pPr>
        <w:spacing w:after="0" w:line="240" w:lineRule="auto"/>
      </w:pPr>
      <w:r>
        <w:continuationSeparator/>
      </w:r>
    </w:p>
  </w:footnote>
  <w:footnote w:type="continuationNotice" w:id="1">
    <w:p w14:paraId="3CA56C39" w14:textId="77777777" w:rsidR="00360AE7" w:rsidRDefault="00360A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221" w14:textId="22950427" w:rsidR="002453C3" w:rsidRDefault="002453C3">
    <w:pPr>
      <w:pStyle w:val="Header"/>
    </w:pPr>
  </w:p>
  <w:p w14:paraId="35A828DB" w14:textId="77777777" w:rsidR="004812DF" w:rsidRDefault="00481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07604"/>
      <w:docPartObj>
        <w:docPartGallery w:val="Watermarks"/>
        <w:docPartUnique/>
      </w:docPartObj>
    </w:sdtPr>
    <w:sdtEndPr/>
    <w:sdtContent>
      <w:p w14:paraId="6DAE0F9D" w14:textId="627B4CBC" w:rsidR="00296FC5" w:rsidRDefault="00360AE7">
        <w:pPr>
          <w:pStyle w:val="Header"/>
        </w:pPr>
        <w:r>
          <w:rPr>
            <w:noProof/>
          </w:rPr>
          <w:pict w14:anchorId="0A5DE2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867F58F" w14:textId="77777777" w:rsidR="004812DF" w:rsidRDefault="004812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756D" w14:textId="77777777" w:rsidR="00D15165" w:rsidRDefault="00D15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B9A"/>
    <w:multiLevelType w:val="hybridMultilevel"/>
    <w:tmpl w:val="99D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417"/>
    <w:multiLevelType w:val="hybridMultilevel"/>
    <w:tmpl w:val="CF325E7C"/>
    <w:lvl w:ilvl="0" w:tplc="95DCAF9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41D"/>
    <w:multiLevelType w:val="hybridMultilevel"/>
    <w:tmpl w:val="9B0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686"/>
    <w:multiLevelType w:val="hybridMultilevel"/>
    <w:tmpl w:val="2588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93E"/>
    <w:multiLevelType w:val="hybridMultilevel"/>
    <w:tmpl w:val="6CC67FCA"/>
    <w:lvl w:ilvl="0" w:tplc="F6C22796">
      <w:start w:val="45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053BA"/>
    <w:multiLevelType w:val="hybridMultilevel"/>
    <w:tmpl w:val="FDFA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7E35"/>
    <w:multiLevelType w:val="hybridMultilevel"/>
    <w:tmpl w:val="F71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050BD"/>
    <w:multiLevelType w:val="hybridMultilevel"/>
    <w:tmpl w:val="6BE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33882"/>
    <w:multiLevelType w:val="hybridMultilevel"/>
    <w:tmpl w:val="3B5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6FBF"/>
    <w:multiLevelType w:val="hybridMultilevel"/>
    <w:tmpl w:val="7AE4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6FB1"/>
    <w:multiLevelType w:val="hybridMultilevel"/>
    <w:tmpl w:val="2DA8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17F6"/>
    <w:multiLevelType w:val="hybridMultilevel"/>
    <w:tmpl w:val="D222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5BB0"/>
    <w:multiLevelType w:val="hybridMultilevel"/>
    <w:tmpl w:val="9314FC76"/>
    <w:lvl w:ilvl="0" w:tplc="F5F07B54">
      <w:start w:val="1"/>
      <w:numFmt w:val="decimal"/>
      <w:lvlText w:val="%1"/>
      <w:lvlJc w:val="left"/>
      <w:pPr>
        <w:ind w:left="1408" w:hanging="119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088DE6A">
      <w:numFmt w:val="bullet"/>
      <w:lvlText w:val="•"/>
      <w:lvlJc w:val="left"/>
      <w:pPr>
        <w:ind w:left="2390" w:hanging="1192"/>
      </w:pPr>
      <w:rPr>
        <w:rFonts w:hint="default"/>
        <w:lang w:val="en-US" w:eastAsia="en-US" w:bidi="ar-SA"/>
      </w:rPr>
    </w:lvl>
    <w:lvl w:ilvl="2" w:tplc="443628E2">
      <w:numFmt w:val="bullet"/>
      <w:lvlText w:val="•"/>
      <w:lvlJc w:val="left"/>
      <w:pPr>
        <w:ind w:left="3380" w:hanging="1192"/>
      </w:pPr>
      <w:rPr>
        <w:rFonts w:hint="default"/>
        <w:lang w:val="en-US" w:eastAsia="en-US" w:bidi="ar-SA"/>
      </w:rPr>
    </w:lvl>
    <w:lvl w:ilvl="3" w:tplc="C180C384">
      <w:numFmt w:val="bullet"/>
      <w:lvlText w:val="•"/>
      <w:lvlJc w:val="left"/>
      <w:pPr>
        <w:ind w:left="4370" w:hanging="1192"/>
      </w:pPr>
      <w:rPr>
        <w:rFonts w:hint="default"/>
        <w:lang w:val="en-US" w:eastAsia="en-US" w:bidi="ar-SA"/>
      </w:rPr>
    </w:lvl>
    <w:lvl w:ilvl="4" w:tplc="3CE2F792">
      <w:numFmt w:val="bullet"/>
      <w:lvlText w:val="•"/>
      <w:lvlJc w:val="left"/>
      <w:pPr>
        <w:ind w:left="5360" w:hanging="1192"/>
      </w:pPr>
      <w:rPr>
        <w:rFonts w:hint="default"/>
        <w:lang w:val="en-US" w:eastAsia="en-US" w:bidi="ar-SA"/>
      </w:rPr>
    </w:lvl>
    <w:lvl w:ilvl="5" w:tplc="4404B184">
      <w:numFmt w:val="bullet"/>
      <w:lvlText w:val="•"/>
      <w:lvlJc w:val="left"/>
      <w:pPr>
        <w:ind w:left="6350" w:hanging="1192"/>
      </w:pPr>
      <w:rPr>
        <w:rFonts w:hint="default"/>
        <w:lang w:val="en-US" w:eastAsia="en-US" w:bidi="ar-SA"/>
      </w:rPr>
    </w:lvl>
    <w:lvl w:ilvl="6" w:tplc="9F3085CE">
      <w:numFmt w:val="bullet"/>
      <w:lvlText w:val="•"/>
      <w:lvlJc w:val="left"/>
      <w:pPr>
        <w:ind w:left="7340" w:hanging="1192"/>
      </w:pPr>
      <w:rPr>
        <w:rFonts w:hint="default"/>
        <w:lang w:val="en-US" w:eastAsia="en-US" w:bidi="ar-SA"/>
      </w:rPr>
    </w:lvl>
    <w:lvl w:ilvl="7" w:tplc="D47E7F7E">
      <w:numFmt w:val="bullet"/>
      <w:lvlText w:val="•"/>
      <w:lvlJc w:val="left"/>
      <w:pPr>
        <w:ind w:left="8330" w:hanging="1192"/>
      </w:pPr>
      <w:rPr>
        <w:rFonts w:hint="default"/>
        <w:lang w:val="en-US" w:eastAsia="en-US" w:bidi="ar-SA"/>
      </w:rPr>
    </w:lvl>
    <w:lvl w:ilvl="8" w:tplc="6F966450">
      <w:numFmt w:val="bullet"/>
      <w:lvlText w:val="•"/>
      <w:lvlJc w:val="left"/>
      <w:pPr>
        <w:ind w:left="9320" w:hanging="1192"/>
      </w:pPr>
      <w:rPr>
        <w:rFonts w:hint="default"/>
        <w:lang w:val="en-US" w:eastAsia="en-US" w:bidi="ar-SA"/>
      </w:rPr>
    </w:lvl>
  </w:abstractNum>
  <w:abstractNum w:abstractNumId="13" w15:restartNumberingAfterBreak="0">
    <w:nsid w:val="25962094"/>
    <w:multiLevelType w:val="hybridMultilevel"/>
    <w:tmpl w:val="2744B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7692"/>
    <w:multiLevelType w:val="hybridMultilevel"/>
    <w:tmpl w:val="1EF2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3EB7"/>
    <w:multiLevelType w:val="hybridMultilevel"/>
    <w:tmpl w:val="43FA60CA"/>
    <w:lvl w:ilvl="0" w:tplc="9D8EBDF0">
      <w:start w:val="1"/>
      <w:numFmt w:val="decimal"/>
      <w:lvlText w:val="%1"/>
      <w:lvlJc w:val="left"/>
      <w:pPr>
        <w:ind w:left="1408" w:hanging="119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06053A">
      <w:numFmt w:val="bullet"/>
      <w:lvlText w:val="•"/>
      <w:lvlJc w:val="left"/>
      <w:pPr>
        <w:ind w:left="2390" w:hanging="1192"/>
      </w:pPr>
      <w:rPr>
        <w:rFonts w:hint="default"/>
        <w:lang w:val="en-US" w:eastAsia="en-US" w:bidi="ar-SA"/>
      </w:rPr>
    </w:lvl>
    <w:lvl w:ilvl="2" w:tplc="F72CDCE6">
      <w:numFmt w:val="bullet"/>
      <w:lvlText w:val="•"/>
      <w:lvlJc w:val="left"/>
      <w:pPr>
        <w:ind w:left="3380" w:hanging="1192"/>
      </w:pPr>
      <w:rPr>
        <w:rFonts w:hint="default"/>
        <w:lang w:val="en-US" w:eastAsia="en-US" w:bidi="ar-SA"/>
      </w:rPr>
    </w:lvl>
    <w:lvl w:ilvl="3" w:tplc="E0B4F91A">
      <w:numFmt w:val="bullet"/>
      <w:lvlText w:val="•"/>
      <w:lvlJc w:val="left"/>
      <w:pPr>
        <w:ind w:left="4370" w:hanging="1192"/>
      </w:pPr>
      <w:rPr>
        <w:rFonts w:hint="default"/>
        <w:lang w:val="en-US" w:eastAsia="en-US" w:bidi="ar-SA"/>
      </w:rPr>
    </w:lvl>
    <w:lvl w:ilvl="4" w:tplc="E00494DE">
      <w:numFmt w:val="bullet"/>
      <w:lvlText w:val="•"/>
      <w:lvlJc w:val="left"/>
      <w:pPr>
        <w:ind w:left="5360" w:hanging="1192"/>
      </w:pPr>
      <w:rPr>
        <w:rFonts w:hint="default"/>
        <w:lang w:val="en-US" w:eastAsia="en-US" w:bidi="ar-SA"/>
      </w:rPr>
    </w:lvl>
    <w:lvl w:ilvl="5" w:tplc="B290B1D4">
      <w:numFmt w:val="bullet"/>
      <w:lvlText w:val="•"/>
      <w:lvlJc w:val="left"/>
      <w:pPr>
        <w:ind w:left="6350" w:hanging="1192"/>
      </w:pPr>
      <w:rPr>
        <w:rFonts w:hint="default"/>
        <w:lang w:val="en-US" w:eastAsia="en-US" w:bidi="ar-SA"/>
      </w:rPr>
    </w:lvl>
    <w:lvl w:ilvl="6" w:tplc="9AB6D44C">
      <w:numFmt w:val="bullet"/>
      <w:lvlText w:val="•"/>
      <w:lvlJc w:val="left"/>
      <w:pPr>
        <w:ind w:left="7340" w:hanging="1192"/>
      </w:pPr>
      <w:rPr>
        <w:rFonts w:hint="default"/>
        <w:lang w:val="en-US" w:eastAsia="en-US" w:bidi="ar-SA"/>
      </w:rPr>
    </w:lvl>
    <w:lvl w:ilvl="7" w:tplc="DE74BEDC">
      <w:numFmt w:val="bullet"/>
      <w:lvlText w:val="•"/>
      <w:lvlJc w:val="left"/>
      <w:pPr>
        <w:ind w:left="8330" w:hanging="1192"/>
      </w:pPr>
      <w:rPr>
        <w:rFonts w:hint="default"/>
        <w:lang w:val="en-US" w:eastAsia="en-US" w:bidi="ar-SA"/>
      </w:rPr>
    </w:lvl>
    <w:lvl w:ilvl="8" w:tplc="78C81D82">
      <w:numFmt w:val="bullet"/>
      <w:lvlText w:val="•"/>
      <w:lvlJc w:val="left"/>
      <w:pPr>
        <w:ind w:left="9320" w:hanging="1192"/>
      </w:pPr>
      <w:rPr>
        <w:rFonts w:hint="default"/>
        <w:lang w:val="en-US" w:eastAsia="en-US" w:bidi="ar-SA"/>
      </w:rPr>
    </w:lvl>
  </w:abstractNum>
  <w:abstractNum w:abstractNumId="16" w15:restartNumberingAfterBreak="0">
    <w:nsid w:val="37B14D46"/>
    <w:multiLevelType w:val="hybridMultilevel"/>
    <w:tmpl w:val="7C6CA9B8"/>
    <w:lvl w:ilvl="0" w:tplc="821AC5A8">
      <w:start w:val="32"/>
      <w:numFmt w:val="decimal"/>
      <w:lvlText w:val="%1"/>
      <w:lvlJc w:val="left"/>
      <w:pPr>
        <w:ind w:left="2128" w:hanging="202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A9A123E">
      <w:start w:val="1"/>
      <w:numFmt w:val="decimal"/>
      <w:lvlText w:val="%2"/>
      <w:lvlJc w:val="left"/>
      <w:pPr>
        <w:ind w:left="688" w:hanging="4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DB263AE">
      <w:numFmt w:val="bullet"/>
      <w:lvlText w:val="•"/>
      <w:lvlJc w:val="left"/>
      <w:pPr>
        <w:ind w:left="3140" w:hanging="472"/>
      </w:pPr>
      <w:rPr>
        <w:rFonts w:hint="default"/>
        <w:lang w:val="en-US" w:eastAsia="en-US" w:bidi="ar-SA"/>
      </w:rPr>
    </w:lvl>
    <w:lvl w:ilvl="3" w:tplc="9ABCC3E4">
      <w:numFmt w:val="bullet"/>
      <w:lvlText w:val="•"/>
      <w:lvlJc w:val="left"/>
      <w:pPr>
        <w:ind w:left="4160" w:hanging="472"/>
      </w:pPr>
      <w:rPr>
        <w:rFonts w:hint="default"/>
        <w:lang w:val="en-US" w:eastAsia="en-US" w:bidi="ar-SA"/>
      </w:rPr>
    </w:lvl>
    <w:lvl w:ilvl="4" w:tplc="AF9802C2">
      <w:numFmt w:val="bullet"/>
      <w:lvlText w:val="•"/>
      <w:lvlJc w:val="left"/>
      <w:pPr>
        <w:ind w:left="5180" w:hanging="472"/>
      </w:pPr>
      <w:rPr>
        <w:rFonts w:hint="default"/>
        <w:lang w:val="en-US" w:eastAsia="en-US" w:bidi="ar-SA"/>
      </w:rPr>
    </w:lvl>
    <w:lvl w:ilvl="5" w:tplc="4344F980">
      <w:numFmt w:val="bullet"/>
      <w:lvlText w:val="•"/>
      <w:lvlJc w:val="left"/>
      <w:pPr>
        <w:ind w:left="6200" w:hanging="472"/>
      </w:pPr>
      <w:rPr>
        <w:rFonts w:hint="default"/>
        <w:lang w:val="en-US" w:eastAsia="en-US" w:bidi="ar-SA"/>
      </w:rPr>
    </w:lvl>
    <w:lvl w:ilvl="6" w:tplc="58763ADA">
      <w:numFmt w:val="bullet"/>
      <w:lvlText w:val="•"/>
      <w:lvlJc w:val="left"/>
      <w:pPr>
        <w:ind w:left="7220" w:hanging="472"/>
      </w:pPr>
      <w:rPr>
        <w:rFonts w:hint="default"/>
        <w:lang w:val="en-US" w:eastAsia="en-US" w:bidi="ar-SA"/>
      </w:rPr>
    </w:lvl>
    <w:lvl w:ilvl="7" w:tplc="17DCAFBC">
      <w:numFmt w:val="bullet"/>
      <w:lvlText w:val="•"/>
      <w:lvlJc w:val="left"/>
      <w:pPr>
        <w:ind w:left="8240" w:hanging="472"/>
      </w:pPr>
      <w:rPr>
        <w:rFonts w:hint="default"/>
        <w:lang w:val="en-US" w:eastAsia="en-US" w:bidi="ar-SA"/>
      </w:rPr>
    </w:lvl>
    <w:lvl w:ilvl="8" w:tplc="2BC80DA2">
      <w:numFmt w:val="bullet"/>
      <w:lvlText w:val="•"/>
      <w:lvlJc w:val="left"/>
      <w:pPr>
        <w:ind w:left="9260" w:hanging="472"/>
      </w:pPr>
      <w:rPr>
        <w:rFonts w:hint="default"/>
        <w:lang w:val="en-US" w:eastAsia="en-US" w:bidi="ar-SA"/>
      </w:rPr>
    </w:lvl>
  </w:abstractNum>
  <w:abstractNum w:abstractNumId="17" w15:restartNumberingAfterBreak="0">
    <w:nsid w:val="38BE1735"/>
    <w:multiLevelType w:val="hybridMultilevel"/>
    <w:tmpl w:val="0894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03A8A"/>
    <w:multiLevelType w:val="hybridMultilevel"/>
    <w:tmpl w:val="1546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5329"/>
    <w:multiLevelType w:val="hybridMultilevel"/>
    <w:tmpl w:val="23724A7E"/>
    <w:lvl w:ilvl="0" w:tplc="1FC631B8">
      <w:start w:val="1"/>
      <w:numFmt w:val="decimal"/>
      <w:lvlText w:val="%1"/>
      <w:lvlJc w:val="left"/>
      <w:pPr>
        <w:ind w:left="2128" w:hanging="19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18AD6A">
      <w:numFmt w:val="bullet"/>
      <w:lvlText w:val="•"/>
      <w:lvlJc w:val="left"/>
      <w:pPr>
        <w:ind w:left="3038" w:hanging="1912"/>
      </w:pPr>
      <w:rPr>
        <w:rFonts w:hint="default"/>
        <w:lang w:val="en-US" w:eastAsia="en-US" w:bidi="ar-SA"/>
      </w:rPr>
    </w:lvl>
    <w:lvl w:ilvl="2" w:tplc="4FF495C8">
      <w:numFmt w:val="bullet"/>
      <w:lvlText w:val="•"/>
      <w:lvlJc w:val="left"/>
      <w:pPr>
        <w:ind w:left="3956" w:hanging="1912"/>
      </w:pPr>
      <w:rPr>
        <w:rFonts w:hint="default"/>
        <w:lang w:val="en-US" w:eastAsia="en-US" w:bidi="ar-SA"/>
      </w:rPr>
    </w:lvl>
    <w:lvl w:ilvl="3" w:tplc="91EEE5F0">
      <w:numFmt w:val="bullet"/>
      <w:lvlText w:val="•"/>
      <w:lvlJc w:val="left"/>
      <w:pPr>
        <w:ind w:left="4874" w:hanging="1912"/>
      </w:pPr>
      <w:rPr>
        <w:rFonts w:hint="default"/>
        <w:lang w:val="en-US" w:eastAsia="en-US" w:bidi="ar-SA"/>
      </w:rPr>
    </w:lvl>
    <w:lvl w:ilvl="4" w:tplc="B9EAECB2">
      <w:numFmt w:val="bullet"/>
      <w:lvlText w:val="•"/>
      <w:lvlJc w:val="left"/>
      <w:pPr>
        <w:ind w:left="5792" w:hanging="1912"/>
      </w:pPr>
      <w:rPr>
        <w:rFonts w:hint="default"/>
        <w:lang w:val="en-US" w:eastAsia="en-US" w:bidi="ar-SA"/>
      </w:rPr>
    </w:lvl>
    <w:lvl w:ilvl="5" w:tplc="F3B62D58">
      <w:numFmt w:val="bullet"/>
      <w:lvlText w:val="•"/>
      <w:lvlJc w:val="left"/>
      <w:pPr>
        <w:ind w:left="6710" w:hanging="1912"/>
      </w:pPr>
      <w:rPr>
        <w:rFonts w:hint="default"/>
        <w:lang w:val="en-US" w:eastAsia="en-US" w:bidi="ar-SA"/>
      </w:rPr>
    </w:lvl>
    <w:lvl w:ilvl="6" w:tplc="13C4925C">
      <w:numFmt w:val="bullet"/>
      <w:lvlText w:val="•"/>
      <w:lvlJc w:val="left"/>
      <w:pPr>
        <w:ind w:left="7628" w:hanging="1912"/>
      </w:pPr>
      <w:rPr>
        <w:rFonts w:hint="default"/>
        <w:lang w:val="en-US" w:eastAsia="en-US" w:bidi="ar-SA"/>
      </w:rPr>
    </w:lvl>
    <w:lvl w:ilvl="7" w:tplc="37AAE1B6">
      <w:numFmt w:val="bullet"/>
      <w:lvlText w:val="•"/>
      <w:lvlJc w:val="left"/>
      <w:pPr>
        <w:ind w:left="8546" w:hanging="1912"/>
      </w:pPr>
      <w:rPr>
        <w:rFonts w:hint="default"/>
        <w:lang w:val="en-US" w:eastAsia="en-US" w:bidi="ar-SA"/>
      </w:rPr>
    </w:lvl>
    <w:lvl w:ilvl="8" w:tplc="A4A85F4C">
      <w:numFmt w:val="bullet"/>
      <w:lvlText w:val="•"/>
      <w:lvlJc w:val="left"/>
      <w:pPr>
        <w:ind w:left="9464" w:hanging="1912"/>
      </w:pPr>
      <w:rPr>
        <w:rFonts w:hint="default"/>
        <w:lang w:val="en-US" w:eastAsia="en-US" w:bidi="ar-SA"/>
      </w:rPr>
    </w:lvl>
  </w:abstractNum>
  <w:abstractNum w:abstractNumId="20" w15:restartNumberingAfterBreak="0">
    <w:nsid w:val="3DB87C0C"/>
    <w:multiLevelType w:val="hybridMultilevel"/>
    <w:tmpl w:val="3AF0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5133F"/>
    <w:multiLevelType w:val="hybridMultilevel"/>
    <w:tmpl w:val="0FA8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0703"/>
    <w:multiLevelType w:val="hybridMultilevel"/>
    <w:tmpl w:val="4D7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C28"/>
    <w:multiLevelType w:val="hybridMultilevel"/>
    <w:tmpl w:val="9D9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129C3"/>
    <w:multiLevelType w:val="hybridMultilevel"/>
    <w:tmpl w:val="AAB8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72665"/>
    <w:multiLevelType w:val="hybridMultilevel"/>
    <w:tmpl w:val="6CC08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86C86"/>
    <w:multiLevelType w:val="hybridMultilevel"/>
    <w:tmpl w:val="4422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03FEE"/>
    <w:multiLevelType w:val="multilevel"/>
    <w:tmpl w:val="8902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A77EBD"/>
    <w:multiLevelType w:val="hybridMultilevel"/>
    <w:tmpl w:val="C1B0F16C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14B2"/>
    <w:multiLevelType w:val="hybridMultilevel"/>
    <w:tmpl w:val="3B00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90C48"/>
    <w:multiLevelType w:val="hybridMultilevel"/>
    <w:tmpl w:val="8D5C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E6B24"/>
    <w:multiLevelType w:val="hybridMultilevel"/>
    <w:tmpl w:val="0DA262D2"/>
    <w:lvl w:ilvl="0" w:tplc="77B27690">
      <w:start w:val="1"/>
      <w:numFmt w:val="decimal"/>
      <w:lvlText w:val="%1"/>
      <w:lvlJc w:val="left"/>
      <w:pPr>
        <w:ind w:left="688" w:hanging="47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F1CF92E">
      <w:numFmt w:val="bullet"/>
      <w:lvlText w:val="•"/>
      <w:lvlJc w:val="left"/>
      <w:pPr>
        <w:ind w:left="1742" w:hanging="472"/>
      </w:pPr>
      <w:rPr>
        <w:rFonts w:hint="default"/>
        <w:lang w:val="en-US" w:eastAsia="en-US" w:bidi="ar-SA"/>
      </w:rPr>
    </w:lvl>
    <w:lvl w:ilvl="2" w:tplc="E4B45758">
      <w:numFmt w:val="bullet"/>
      <w:lvlText w:val="•"/>
      <w:lvlJc w:val="left"/>
      <w:pPr>
        <w:ind w:left="2804" w:hanging="472"/>
      </w:pPr>
      <w:rPr>
        <w:rFonts w:hint="default"/>
        <w:lang w:val="en-US" w:eastAsia="en-US" w:bidi="ar-SA"/>
      </w:rPr>
    </w:lvl>
    <w:lvl w:ilvl="3" w:tplc="5C22DD80">
      <w:numFmt w:val="bullet"/>
      <w:lvlText w:val="•"/>
      <w:lvlJc w:val="left"/>
      <w:pPr>
        <w:ind w:left="3866" w:hanging="472"/>
      </w:pPr>
      <w:rPr>
        <w:rFonts w:hint="default"/>
        <w:lang w:val="en-US" w:eastAsia="en-US" w:bidi="ar-SA"/>
      </w:rPr>
    </w:lvl>
    <w:lvl w:ilvl="4" w:tplc="03C05E68">
      <w:numFmt w:val="bullet"/>
      <w:lvlText w:val="•"/>
      <w:lvlJc w:val="left"/>
      <w:pPr>
        <w:ind w:left="4928" w:hanging="472"/>
      </w:pPr>
      <w:rPr>
        <w:rFonts w:hint="default"/>
        <w:lang w:val="en-US" w:eastAsia="en-US" w:bidi="ar-SA"/>
      </w:rPr>
    </w:lvl>
    <w:lvl w:ilvl="5" w:tplc="20EC437C">
      <w:numFmt w:val="bullet"/>
      <w:lvlText w:val="•"/>
      <w:lvlJc w:val="left"/>
      <w:pPr>
        <w:ind w:left="5990" w:hanging="472"/>
      </w:pPr>
      <w:rPr>
        <w:rFonts w:hint="default"/>
        <w:lang w:val="en-US" w:eastAsia="en-US" w:bidi="ar-SA"/>
      </w:rPr>
    </w:lvl>
    <w:lvl w:ilvl="6" w:tplc="491C226A">
      <w:numFmt w:val="bullet"/>
      <w:lvlText w:val="•"/>
      <w:lvlJc w:val="left"/>
      <w:pPr>
        <w:ind w:left="7052" w:hanging="472"/>
      </w:pPr>
      <w:rPr>
        <w:rFonts w:hint="default"/>
        <w:lang w:val="en-US" w:eastAsia="en-US" w:bidi="ar-SA"/>
      </w:rPr>
    </w:lvl>
    <w:lvl w:ilvl="7" w:tplc="C9321E86">
      <w:numFmt w:val="bullet"/>
      <w:lvlText w:val="•"/>
      <w:lvlJc w:val="left"/>
      <w:pPr>
        <w:ind w:left="8114" w:hanging="472"/>
      </w:pPr>
      <w:rPr>
        <w:rFonts w:hint="default"/>
        <w:lang w:val="en-US" w:eastAsia="en-US" w:bidi="ar-SA"/>
      </w:rPr>
    </w:lvl>
    <w:lvl w:ilvl="8" w:tplc="3AAC2C82">
      <w:numFmt w:val="bullet"/>
      <w:lvlText w:val="•"/>
      <w:lvlJc w:val="left"/>
      <w:pPr>
        <w:ind w:left="9176" w:hanging="472"/>
      </w:pPr>
      <w:rPr>
        <w:rFonts w:hint="default"/>
        <w:lang w:val="en-US" w:eastAsia="en-US" w:bidi="ar-SA"/>
      </w:rPr>
    </w:lvl>
  </w:abstractNum>
  <w:abstractNum w:abstractNumId="32" w15:restartNumberingAfterBreak="0">
    <w:nsid w:val="68CE7B47"/>
    <w:multiLevelType w:val="hybridMultilevel"/>
    <w:tmpl w:val="2BE8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401E1"/>
    <w:multiLevelType w:val="hybridMultilevel"/>
    <w:tmpl w:val="73AE7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A4E48"/>
    <w:multiLevelType w:val="hybridMultilevel"/>
    <w:tmpl w:val="185CEC88"/>
    <w:lvl w:ilvl="0" w:tplc="5E4AB714">
      <w:start w:val="1"/>
      <w:numFmt w:val="decimal"/>
      <w:lvlText w:val="%1."/>
      <w:lvlJc w:val="left"/>
      <w:pPr>
        <w:ind w:left="45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09BA"/>
    <w:multiLevelType w:val="hybridMultilevel"/>
    <w:tmpl w:val="39D87EA0"/>
    <w:lvl w:ilvl="0" w:tplc="1E02A1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E8B"/>
    <w:multiLevelType w:val="hybridMultilevel"/>
    <w:tmpl w:val="31C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5235E"/>
    <w:multiLevelType w:val="hybridMultilevel"/>
    <w:tmpl w:val="D3969756"/>
    <w:lvl w:ilvl="0" w:tplc="5E4AB714">
      <w:start w:val="1"/>
      <w:numFmt w:val="decimal"/>
      <w:lvlText w:val="%1."/>
      <w:lvlJc w:val="left"/>
      <w:pPr>
        <w:ind w:left="45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76C2F"/>
    <w:multiLevelType w:val="hybridMultilevel"/>
    <w:tmpl w:val="990CECC4"/>
    <w:lvl w:ilvl="0" w:tplc="4ACAA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9"/>
  </w:num>
  <w:num w:numId="4">
    <w:abstractNumId w:val="25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8"/>
  </w:num>
  <w:num w:numId="11">
    <w:abstractNumId w:val="20"/>
  </w:num>
  <w:num w:numId="12">
    <w:abstractNumId w:val="34"/>
  </w:num>
  <w:num w:numId="13">
    <w:abstractNumId w:val="4"/>
  </w:num>
  <w:num w:numId="14">
    <w:abstractNumId w:val="4"/>
  </w:num>
  <w:num w:numId="15">
    <w:abstractNumId w:val="18"/>
  </w:num>
  <w:num w:numId="16">
    <w:abstractNumId w:val="5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1"/>
  </w:num>
  <w:num w:numId="21">
    <w:abstractNumId w:val="6"/>
  </w:num>
  <w:num w:numId="22">
    <w:abstractNumId w:val="32"/>
  </w:num>
  <w:num w:numId="23">
    <w:abstractNumId w:val="0"/>
  </w:num>
  <w:num w:numId="24">
    <w:abstractNumId w:val="22"/>
  </w:num>
  <w:num w:numId="25">
    <w:abstractNumId w:val="10"/>
  </w:num>
  <w:num w:numId="26">
    <w:abstractNumId w:val="14"/>
  </w:num>
  <w:num w:numId="27">
    <w:abstractNumId w:val="8"/>
  </w:num>
  <w:num w:numId="28">
    <w:abstractNumId w:val="1"/>
  </w:num>
  <w:num w:numId="29">
    <w:abstractNumId w:val="0"/>
  </w:num>
  <w:num w:numId="30">
    <w:abstractNumId w:val="28"/>
  </w:num>
  <w:num w:numId="31">
    <w:abstractNumId w:val="3"/>
  </w:num>
  <w:num w:numId="32">
    <w:abstractNumId w:val="7"/>
  </w:num>
  <w:num w:numId="33">
    <w:abstractNumId w:val="24"/>
  </w:num>
  <w:num w:numId="34">
    <w:abstractNumId w:val="23"/>
  </w:num>
  <w:num w:numId="35">
    <w:abstractNumId w:val="31"/>
  </w:num>
  <w:num w:numId="36">
    <w:abstractNumId w:val="13"/>
  </w:num>
  <w:num w:numId="37">
    <w:abstractNumId w:val="19"/>
  </w:num>
  <w:num w:numId="38">
    <w:abstractNumId w:val="2"/>
  </w:num>
  <w:num w:numId="39">
    <w:abstractNumId w:val="16"/>
  </w:num>
  <w:num w:numId="40">
    <w:abstractNumId w:val="11"/>
  </w:num>
  <w:num w:numId="41">
    <w:abstractNumId w:val="12"/>
  </w:num>
  <w:num w:numId="42">
    <w:abstractNumId w:val="15"/>
  </w:num>
  <w:num w:numId="43">
    <w:abstractNumId w:val="26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2D"/>
    <w:rsid w:val="000021EC"/>
    <w:rsid w:val="00004741"/>
    <w:rsid w:val="00006670"/>
    <w:rsid w:val="000108ED"/>
    <w:rsid w:val="00013113"/>
    <w:rsid w:val="00014F5A"/>
    <w:rsid w:val="00016459"/>
    <w:rsid w:val="000267D4"/>
    <w:rsid w:val="00027CED"/>
    <w:rsid w:val="00030831"/>
    <w:rsid w:val="000333A4"/>
    <w:rsid w:val="00033406"/>
    <w:rsid w:val="00034ACC"/>
    <w:rsid w:val="00036B5A"/>
    <w:rsid w:val="00042225"/>
    <w:rsid w:val="0005216B"/>
    <w:rsid w:val="0005570A"/>
    <w:rsid w:val="00056945"/>
    <w:rsid w:val="00057277"/>
    <w:rsid w:val="00060F5C"/>
    <w:rsid w:val="00062844"/>
    <w:rsid w:val="00062FA6"/>
    <w:rsid w:val="00067CF8"/>
    <w:rsid w:val="00076503"/>
    <w:rsid w:val="00082DCC"/>
    <w:rsid w:val="00086341"/>
    <w:rsid w:val="00086BA8"/>
    <w:rsid w:val="00090C9B"/>
    <w:rsid w:val="00092AA8"/>
    <w:rsid w:val="00093DC2"/>
    <w:rsid w:val="00095EEE"/>
    <w:rsid w:val="000962DC"/>
    <w:rsid w:val="000970F1"/>
    <w:rsid w:val="000A2DDB"/>
    <w:rsid w:val="000B14E6"/>
    <w:rsid w:val="000B3AB0"/>
    <w:rsid w:val="000B4565"/>
    <w:rsid w:val="000B644D"/>
    <w:rsid w:val="000C1ABA"/>
    <w:rsid w:val="000C1C36"/>
    <w:rsid w:val="000C3E57"/>
    <w:rsid w:val="000D19D8"/>
    <w:rsid w:val="000D1D7B"/>
    <w:rsid w:val="000D51E8"/>
    <w:rsid w:val="000D5DEA"/>
    <w:rsid w:val="000E42E9"/>
    <w:rsid w:val="000E60A9"/>
    <w:rsid w:val="000E6DF7"/>
    <w:rsid w:val="000E6E45"/>
    <w:rsid w:val="000E71F9"/>
    <w:rsid w:val="000F1943"/>
    <w:rsid w:val="000F2ED2"/>
    <w:rsid w:val="000F3948"/>
    <w:rsid w:val="000F3AFF"/>
    <w:rsid w:val="000F5CED"/>
    <w:rsid w:val="001007AD"/>
    <w:rsid w:val="0010456E"/>
    <w:rsid w:val="001048F2"/>
    <w:rsid w:val="00110608"/>
    <w:rsid w:val="00113792"/>
    <w:rsid w:val="001169F9"/>
    <w:rsid w:val="00117136"/>
    <w:rsid w:val="00117C61"/>
    <w:rsid w:val="00121E91"/>
    <w:rsid w:val="0012231F"/>
    <w:rsid w:val="00123D46"/>
    <w:rsid w:val="00124F1B"/>
    <w:rsid w:val="001257AE"/>
    <w:rsid w:val="0013055C"/>
    <w:rsid w:val="00132551"/>
    <w:rsid w:val="00136A4E"/>
    <w:rsid w:val="00141F8C"/>
    <w:rsid w:val="00143F4F"/>
    <w:rsid w:val="001449A7"/>
    <w:rsid w:val="0014512A"/>
    <w:rsid w:val="0014682E"/>
    <w:rsid w:val="00151BD0"/>
    <w:rsid w:val="00155985"/>
    <w:rsid w:val="0016636E"/>
    <w:rsid w:val="00170446"/>
    <w:rsid w:val="001707DD"/>
    <w:rsid w:val="00170F82"/>
    <w:rsid w:val="0017317C"/>
    <w:rsid w:val="001777F9"/>
    <w:rsid w:val="00180923"/>
    <w:rsid w:val="001848C9"/>
    <w:rsid w:val="00185EA8"/>
    <w:rsid w:val="00190B4F"/>
    <w:rsid w:val="00191DA6"/>
    <w:rsid w:val="0019220D"/>
    <w:rsid w:val="00192A4B"/>
    <w:rsid w:val="00196149"/>
    <w:rsid w:val="001A2FEC"/>
    <w:rsid w:val="001B25CD"/>
    <w:rsid w:val="001B3D7C"/>
    <w:rsid w:val="001B7B61"/>
    <w:rsid w:val="001C3829"/>
    <w:rsid w:val="001C7A18"/>
    <w:rsid w:val="001D0359"/>
    <w:rsid w:val="001D2A0A"/>
    <w:rsid w:val="001D3556"/>
    <w:rsid w:val="001D5EEF"/>
    <w:rsid w:val="001D7005"/>
    <w:rsid w:val="001F399F"/>
    <w:rsid w:val="001F4085"/>
    <w:rsid w:val="001F55F5"/>
    <w:rsid w:val="00205C96"/>
    <w:rsid w:val="00206014"/>
    <w:rsid w:val="00206562"/>
    <w:rsid w:val="0020709B"/>
    <w:rsid w:val="00207E83"/>
    <w:rsid w:val="002144F8"/>
    <w:rsid w:val="00214801"/>
    <w:rsid w:val="00214AC4"/>
    <w:rsid w:val="00214CB9"/>
    <w:rsid w:val="00215B68"/>
    <w:rsid w:val="00216DE0"/>
    <w:rsid w:val="00225A8C"/>
    <w:rsid w:val="00227B7A"/>
    <w:rsid w:val="00230D24"/>
    <w:rsid w:val="00230F22"/>
    <w:rsid w:val="002316F5"/>
    <w:rsid w:val="00240F36"/>
    <w:rsid w:val="00242CA5"/>
    <w:rsid w:val="00243DC6"/>
    <w:rsid w:val="00244611"/>
    <w:rsid w:val="002453C3"/>
    <w:rsid w:val="00246D0D"/>
    <w:rsid w:val="00252148"/>
    <w:rsid w:val="00253991"/>
    <w:rsid w:val="002542C2"/>
    <w:rsid w:val="00255543"/>
    <w:rsid w:val="00256DA9"/>
    <w:rsid w:val="00257AB8"/>
    <w:rsid w:val="00260BF1"/>
    <w:rsid w:val="00265D2C"/>
    <w:rsid w:val="00267FC2"/>
    <w:rsid w:val="00276F0F"/>
    <w:rsid w:val="00276FDC"/>
    <w:rsid w:val="00277EAD"/>
    <w:rsid w:val="0028176F"/>
    <w:rsid w:val="0029028F"/>
    <w:rsid w:val="0029057A"/>
    <w:rsid w:val="0029190A"/>
    <w:rsid w:val="00292B7B"/>
    <w:rsid w:val="00293B87"/>
    <w:rsid w:val="00296385"/>
    <w:rsid w:val="00296FC5"/>
    <w:rsid w:val="002A6F4E"/>
    <w:rsid w:val="002A7464"/>
    <w:rsid w:val="002C0B62"/>
    <w:rsid w:val="002C3E8F"/>
    <w:rsid w:val="002C6BFC"/>
    <w:rsid w:val="002D08B1"/>
    <w:rsid w:val="002D2C9D"/>
    <w:rsid w:val="002D43A0"/>
    <w:rsid w:val="002D6FC1"/>
    <w:rsid w:val="002E00CB"/>
    <w:rsid w:val="002E05DD"/>
    <w:rsid w:val="002E1222"/>
    <w:rsid w:val="002E26DF"/>
    <w:rsid w:val="002E2CC5"/>
    <w:rsid w:val="002F4384"/>
    <w:rsid w:val="002F63B1"/>
    <w:rsid w:val="00302B22"/>
    <w:rsid w:val="00305171"/>
    <w:rsid w:val="00312142"/>
    <w:rsid w:val="00322254"/>
    <w:rsid w:val="00326530"/>
    <w:rsid w:val="003314E3"/>
    <w:rsid w:val="00331D67"/>
    <w:rsid w:val="0033579F"/>
    <w:rsid w:val="00352590"/>
    <w:rsid w:val="0035407E"/>
    <w:rsid w:val="00355DDC"/>
    <w:rsid w:val="00360AE7"/>
    <w:rsid w:val="003616CD"/>
    <w:rsid w:val="00361B7E"/>
    <w:rsid w:val="0036277F"/>
    <w:rsid w:val="0036333B"/>
    <w:rsid w:val="0037425C"/>
    <w:rsid w:val="00382329"/>
    <w:rsid w:val="0038321C"/>
    <w:rsid w:val="00384271"/>
    <w:rsid w:val="0038497D"/>
    <w:rsid w:val="0038573F"/>
    <w:rsid w:val="003862EA"/>
    <w:rsid w:val="0038725F"/>
    <w:rsid w:val="00395C60"/>
    <w:rsid w:val="00397BC9"/>
    <w:rsid w:val="003A072B"/>
    <w:rsid w:val="003A1594"/>
    <w:rsid w:val="003A760C"/>
    <w:rsid w:val="003B09BF"/>
    <w:rsid w:val="003B1642"/>
    <w:rsid w:val="003B1FD3"/>
    <w:rsid w:val="003B4319"/>
    <w:rsid w:val="003B7375"/>
    <w:rsid w:val="003C354F"/>
    <w:rsid w:val="003C4B5B"/>
    <w:rsid w:val="003C7154"/>
    <w:rsid w:val="003D0C77"/>
    <w:rsid w:val="003D3726"/>
    <w:rsid w:val="003D44D4"/>
    <w:rsid w:val="003D58C0"/>
    <w:rsid w:val="003D6C3F"/>
    <w:rsid w:val="003E11B3"/>
    <w:rsid w:val="003E3A55"/>
    <w:rsid w:val="003E5876"/>
    <w:rsid w:val="003E6FF4"/>
    <w:rsid w:val="003F2288"/>
    <w:rsid w:val="003F3655"/>
    <w:rsid w:val="003F3857"/>
    <w:rsid w:val="00401EDA"/>
    <w:rsid w:val="00402742"/>
    <w:rsid w:val="00405110"/>
    <w:rsid w:val="004074FD"/>
    <w:rsid w:val="0041388B"/>
    <w:rsid w:val="00421271"/>
    <w:rsid w:val="0042411C"/>
    <w:rsid w:val="00427783"/>
    <w:rsid w:val="00431269"/>
    <w:rsid w:val="00431EA9"/>
    <w:rsid w:val="00434B88"/>
    <w:rsid w:val="00436EB8"/>
    <w:rsid w:val="00445F34"/>
    <w:rsid w:val="004463DA"/>
    <w:rsid w:val="004474C7"/>
    <w:rsid w:val="00450D07"/>
    <w:rsid w:val="00451072"/>
    <w:rsid w:val="0045416B"/>
    <w:rsid w:val="0045504A"/>
    <w:rsid w:val="00461E4F"/>
    <w:rsid w:val="00463C6A"/>
    <w:rsid w:val="0046488A"/>
    <w:rsid w:val="00464B9B"/>
    <w:rsid w:val="0047055F"/>
    <w:rsid w:val="00470AC0"/>
    <w:rsid w:val="004721AB"/>
    <w:rsid w:val="004730CA"/>
    <w:rsid w:val="00475F56"/>
    <w:rsid w:val="00476B3D"/>
    <w:rsid w:val="00477128"/>
    <w:rsid w:val="0048022F"/>
    <w:rsid w:val="004812DF"/>
    <w:rsid w:val="00482A84"/>
    <w:rsid w:val="00484EF8"/>
    <w:rsid w:val="00490C89"/>
    <w:rsid w:val="00493B3A"/>
    <w:rsid w:val="004A42A7"/>
    <w:rsid w:val="004A699E"/>
    <w:rsid w:val="004A7266"/>
    <w:rsid w:val="004B06E7"/>
    <w:rsid w:val="004B0A83"/>
    <w:rsid w:val="004C1374"/>
    <w:rsid w:val="004C2545"/>
    <w:rsid w:val="004C2C42"/>
    <w:rsid w:val="004D09DF"/>
    <w:rsid w:val="004D0D3F"/>
    <w:rsid w:val="004D4139"/>
    <w:rsid w:val="004D46B4"/>
    <w:rsid w:val="004D6268"/>
    <w:rsid w:val="004D6E9B"/>
    <w:rsid w:val="004D7B1D"/>
    <w:rsid w:val="004E017D"/>
    <w:rsid w:val="004E2B58"/>
    <w:rsid w:val="004E4BC6"/>
    <w:rsid w:val="004E4DE1"/>
    <w:rsid w:val="004E4F39"/>
    <w:rsid w:val="004E5AD5"/>
    <w:rsid w:val="004F0B30"/>
    <w:rsid w:val="004F19EE"/>
    <w:rsid w:val="004F20E8"/>
    <w:rsid w:val="004F4659"/>
    <w:rsid w:val="00504EF4"/>
    <w:rsid w:val="00507556"/>
    <w:rsid w:val="00515413"/>
    <w:rsid w:val="0051613D"/>
    <w:rsid w:val="0052069E"/>
    <w:rsid w:val="005212DF"/>
    <w:rsid w:val="005339BE"/>
    <w:rsid w:val="00534157"/>
    <w:rsid w:val="005443E2"/>
    <w:rsid w:val="00544904"/>
    <w:rsid w:val="005513B2"/>
    <w:rsid w:val="00552D2E"/>
    <w:rsid w:val="00554DA2"/>
    <w:rsid w:val="005578D0"/>
    <w:rsid w:val="0056199C"/>
    <w:rsid w:val="00564865"/>
    <w:rsid w:val="005670B4"/>
    <w:rsid w:val="005671EE"/>
    <w:rsid w:val="00571284"/>
    <w:rsid w:val="0057190E"/>
    <w:rsid w:val="00571BC0"/>
    <w:rsid w:val="00576B07"/>
    <w:rsid w:val="00582368"/>
    <w:rsid w:val="0058310C"/>
    <w:rsid w:val="00584542"/>
    <w:rsid w:val="00585846"/>
    <w:rsid w:val="00586913"/>
    <w:rsid w:val="005911C3"/>
    <w:rsid w:val="005946FF"/>
    <w:rsid w:val="00596594"/>
    <w:rsid w:val="00596877"/>
    <w:rsid w:val="005A300E"/>
    <w:rsid w:val="005A6321"/>
    <w:rsid w:val="005A6D7D"/>
    <w:rsid w:val="005B2DF5"/>
    <w:rsid w:val="005B3C59"/>
    <w:rsid w:val="005B4F8B"/>
    <w:rsid w:val="005C1699"/>
    <w:rsid w:val="005C1FB9"/>
    <w:rsid w:val="005C3AB2"/>
    <w:rsid w:val="005C3DF2"/>
    <w:rsid w:val="005C6C50"/>
    <w:rsid w:val="005C7411"/>
    <w:rsid w:val="005D0337"/>
    <w:rsid w:val="005D752E"/>
    <w:rsid w:val="005E0A8B"/>
    <w:rsid w:val="005E1E31"/>
    <w:rsid w:val="005E3D93"/>
    <w:rsid w:val="005E5CB5"/>
    <w:rsid w:val="005E70A9"/>
    <w:rsid w:val="005F0885"/>
    <w:rsid w:val="005F0CE3"/>
    <w:rsid w:val="005F1A71"/>
    <w:rsid w:val="00600689"/>
    <w:rsid w:val="00601AC4"/>
    <w:rsid w:val="006023F7"/>
    <w:rsid w:val="0060766D"/>
    <w:rsid w:val="0060796A"/>
    <w:rsid w:val="00616E12"/>
    <w:rsid w:val="006174EE"/>
    <w:rsid w:val="00617561"/>
    <w:rsid w:val="00617857"/>
    <w:rsid w:val="0062576A"/>
    <w:rsid w:val="0062649E"/>
    <w:rsid w:val="00627FF9"/>
    <w:rsid w:val="00632625"/>
    <w:rsid w:val="00636020"/>
    <w:rsid w:val="00636138"/>
    <w:rsid w:val="00643125"/>
    <w:rsid w:val="00645480"/>
    <w:rsid w:val="00651B97"/>
    <w:rsid w:val="00654255"/>
    <w:rsid w:val="00655D12"/>
    <w:rsid w:val="00655E0E"/>
    <w:rsid w:val="006679A7"/>
    <w:rsid w:val="00670B61"/>
    <w:rsid w:val="00671713"/>
    <w:rsid w:val="00686462"/>
    <w:rsid w:val="00686D90"/>
    <w:rsid w:val="006936E9"/>
    <w:rsid w:val="0069410B"/>
    <w:rsid w:val="00694896"/>
    <w:rsid w:val="006960AF"/>
    <w:rsid w:val="006968C7"/>
    <w:rsid w:val="006A3082"/>
    <w:rsid w:val="006A4CA6"/>
    <w:rsid w:val="006B0548"/>
    <w:rsid w:val="006B0856"/>
    <w:rsid w:val="006B667B"/>
    <w:rsid w:val="006B68CF"/>
    <w:rsid w:val="006C3DE4"/>
    <w:rsid w:val="006C7AA6"/>
    <w:rsid w:val="006D02D3"/>
    <w:rsid w:val="006D0787"/>
    <w:rsid w:val="006E02F2"/>
    <w:rsid w:val="006E39B3"/>
    <w:rsid w:val="006E5149"/>
    <w:rsid w:val="006F1300"/>
    <w:rsid w:val="006F1F5F"/>
    <w:rsid w:val="006F548E"/>
    <w:rsid w:val="006F77C2"/>
    <w:rsid w:val="0070091C"/>
    <w:rsid w:val="00707D3A"/>
    <w:rsid w:val="00710380"/>
    <w:rsid w:val="00710530"/>
    <w:rsid w:val="0071119D"/>
    <w:rsid w:val="007127F2"/>
    <w:rsid w:val="007136D3"/>
    <w:rsid w:val="00716D05"/>
    <w:rsid w:val="00720357"/>
    <w:rsid w:val="0072350A"/>
    <w:rsid w:val="00725D66"/>
    <w:rsid w:val="007305E3"/>
    <w:rsid w:val="00730C6D"/>
    <w:rsid w:val="00731526"/>
    <w:rsid w:val="007315E5"/>
    <w:rsid w:val="007319BE"/>
    <w:rsid w:val="007367D1"/>
    <w:rsid w:val="00736ADA"/>
    <w:rsid w:val="00737BD5"/>
    <w:rsid w:val="00742421"/>
    <w:rsid w:val="00751AB8"/>
    <w:rsid w:val="00751AF5"/>
    <w:rsid w:val="00754A26"/>
    <w:rsid w:val="00760135"/>
    <w:rsid w:val="0076071B"/>
    <w:rsid w:val="007611E2"/>
    <w:rsid w:val="00763371"/>
    <w:rsid w:val="007636B2"/>
    <w:rsid w:val="0076414C"/>
    <w:rsid w:val="0076606C"/>
    <w:rsid w:val="007765BD"/>
    <w:rsid w:val="007808D5"/>
    <w:rsid w:val="00790F34"/>
    <w:rsid w:val="00792FBD"/>
    <w:rsid w:val="0079308A"/>
    <w:rsid w:val="00793BD7"/>
    <w:rsid w:val="007A34A6"/>
    <w:rsid w:val="007A5B03"/>
    <w:rsid w:val="007C4D34"/>
    <w:rsid w:val="007C689B"/>
    <w:rsid w:val="007D0DA5"/>
    <w:rsid w:val="007D39F9"/>
    <w:rsid w:val="007D50D7"/>
    <w:rsid w:val="007D721B"/>
    <w:rsid w:val="007D79AD"/>
    <w:rsid w:val="007D7B53"/>
    <w:rsid w:val="007E15C1"/>
    <w:rsid w:val="007E3A89"/>
    <w:rsid w:val="007E4D33"/>
    <w:rsid w:val="007F2EAB"/>
    <w:rsid w:val="007F5905"/>
    <w:rsid w:val="007F61C2"/>
    <w:rsid w:val="007F6978"/>
    <w:rsid w:val="00801434"/>
    <w:rsid w:val="00801EF8"/>
    <w:rsid w:val="00802210"/>
    <w:rsid w:val="00804E04"/>
    <w:rsid w:val="00807270"/>
    <w:rsid w:val="00815735"/>
    <w:rsid w:val="00832058"/>
    <w:rsid w:val="0083345F"/>
    <w:rsid w:val="0083464E"/>
    <w:rsid w:val="00835887"/>
    <w:rsid w:val="00836166"/>
    <w:rsid w:val="008416DA"/>
    <w:rsid w:val="00842346"/>
    <w:rsid w:val="00842E66"/>
    <w:rsid w:val="00843EC9"/>
    <w:rsid w:val="00845506"/>
    <w:rsid w:val="0084593B"/>
    <w:rsid w:val="00846466"/>
    <w:rsid w:val="00846B40"/>
    <w:rsid w:val="0085028E"/>
    <w:rsid w:val="008504C6"/>
    <w:rsid w:val="008517EF"/>
    <w:rsid w:val="0085306D"/>
    <w:rsid w:val="008567F5"/>
    <w:rsid w:val="0086233D"/>
    <w:rsid w:val="008633A8"/>
    <w:rsid w:val="008642E1"/>
    <w:rsid w:val="0086435F"/>
    <w:rsid w:val="0086662F"/>
    <w:rsid w:val="00874410"/>
    <w:rsid w:val="00886797"/>
    <w:rsid w:val="00892199"/>
    <w:rsid w:val="008948D7"/>
    <w:rsid w:val="00894B59"/>
    <w:rsid w:val="008A1B26"/>
    <w:rsid w:val="008A3E29"/>
    <w:rsid w:val="008A51BD"/>
    <w:rsid w:val="008A56F6"/>
    <w:rsid w:val="008A5B52"/>
    <w:rsid w:val="008A6FE6"/>
    <w:rsid w:val="008B058C"/>
    <w:rsid w:val="008B560E"/>
    <w:rsid w:val="008C0ADD"/>
    <w:rsid w:val="008C0B3F"/>
    <w:rsid w:val="008C0BEA"/>
    <w:rsid w:val="008C18AF"/>
    <w:rsid w:val="008C2E4A"/>
    <w:rsid w:val="008C612D"/>
    <w:rsid w:val="008C6D96"/>
    <w:rsid w:val="008C7307"/>
    <w:rsid w:val="008C76C7"/>
    <w:rsid w:val="008D3DA3"/>
    <w:rsid w:val="008D51A8"/>
    <w:rsid w:val="008E4D2C"/>
    <w:rsid w:val="008E4E20"/>
    <w:rsid w:val="008F02B8"/>
    <w:rsid w:val="008F1618"/>
    <w:rsid w:val="008F23CF"/>
    <w:rsid w:val="008F66A4"/>
    <w:rsid w:val="008F705D"/>
    <w:rsid w:val="00901786"/>
    <w:rsid w:val="0090237F"/>
    <w:rsid w:val="0090786A"/>
    <w:rsid w:val="00910254"/>
    <w:rsid w:val="009123FD"/>
    <w:rsid w:val="0091266E"/>
    <w:rsid w:val="009132DD"/>
    <w:rsid w:val="00917026"/>
    <w:rsid w:val="0091737F"/>
    <w:rsid w:val="00920285"/>
    <w:rsid w:val="00925974"/>
    <w:rsid w:val="009264D8"/>
    <w:rsid w:val="00926CF4"/>
    <w:rsid w:val="009337A2"/>
    <w:rsid w:val="009337E3"/>
    <w:rsid w:val="00936C10"/>
    <w:rsid w:val="00937D4F"/>
    <w:rsid w:val="00940298"/>
    <w:rsid w:val="00940D05"/>
    <w:rsid w:val="009424CA"/>
    <w:rsid w:val="00943BC9"/>
    <w:rsid w:val="00945AFD"/>
    <w:rsid w:val="0094621C"/>
    <w:rsid w:val="009540F5"/>
    <w:rsid w:val="0095574B"/>
    <w:rsid w:val="0096102A"/>
    <w:rsid w:val="009613DB"/>
    <w:rsid w:val="009649A6"/>
    <w:rsid w:val="00967FA5"/>
    <w:rsid w:val="00971601"/>
    <w:rsid w:val="00972F07"/>
    <w:rsid w:val="00975F40"/>
    <w:rsid w:val="0098266A"/>
    <w:rsid w:val="00985887"/>
    <w:rsid w:val="00990899"/>
    <w:rsid w:val="00992A09"/>
    <w:rsid w:val="0099391F"/>
    <w:rsid w:val="00995433"/>
    <w:rsid w:val="009A1633"/>
    <w:rsid w:val="009A185B"/>
    <w:rsid w:val="009A3F69"/>
    <w:rsid w:val="009A7057"/>
    <w:rsid w:val="009B0A87"/>
    <w:rsid w:val="009B36B8"/>
    <w:rsid w:val="009B5C54"/>
    <w:rsid w:val="009B62BE"/>
    <w:rsid w:val="009B7C28"/>
    <w:rsid w:val="009D2BCC"/>
    <w:rsid w:val="009D2FA2"/>
    <w:rsid w:val="009D3BBA"/>
    <w:rsid w:val="009D790A"/>
    <w:rsid w:val="009E14BC"/>
    <w:rsid w:val="009E306D"/>
    <w:rsid w:val="009E3AAE"/>
    <w:rsid w:val="009E5508"/>
    <w:rsid w:val="009F0A29"/>
    <w:rsid w:val="009F16A5"/>
    <w:rsid w:val="009F7EB3"/>
    <w:rsid w:val="00A03670"/>
    <w:rsid w:val="00A03740"/>
    <w:rsid w:val="00A042F1"/>
    <w:rsid w:val="00A11122"/>
    <w:rsid w:val="00A116A4"/>
    <w:rsid w:val="00A118F1"/>
    <w:rsid w:val="00A13207"/>
    <w:rsid w:val="00A16991"/>
    <w:rsid w:val="00A228F2"/>
    <w:rsid w:val="00A27EAC"/>
    <w:rsid w:val="00A31744"/>
    <w:rsid w:val="00A31DC4"/>
    <w:rsid w:val="00A337EF"/>
    <w:rsid w:val="00A34205"/>
    <w:rsid w:val="00A37887"/>
    <w:rsid w:val="00A37B54"/>
    <w:rsid w:val="00A43F14"/>
    <w:rsid w:val="00A46D84"/>
    <w:rsid w:val="00A523D5"/>
    <w:rsid w:val="00A52E97"/>
    <w:rsid w:val="00A555AF"/>
    <w:rsid w:val="00A55EA1"/>
    <w:rsid w:val="00A62C11"/>
    <w:rsid w:val="00A64396"/>
    <w:rsid w:val="00A646A1"/>
    <w:rsid w:val="00A647A7"/>
    <w:rsid w:val="00A65392"/>
    <w:rsid w:val="00A710E8"/>
    <w:rsid w:val="00A723A8"/>
    <w:rsid w:val="00A758A6"/>
    <w:rsid w:val="00A76D12"/>
    <w:rsid w:val="00A84018"/>
    <w:rsid w:val="00A84195"/>
    <w:rsid w:val="00A8684C"/>
    <w:rsid w:val="00AA0093"/>
    <w:rsid w:val="00AA0E60"/>
    <w:rsid w:val="00AA1A28"/>
    <w:rsid w:val="00AA3791"/>
    <w:rsid w:val="00AA3E2E"/>
    <w:rsid w:val="00AB12D5"/>
    <w:rsid w:val="00AB582A"/>
    <w:rsid w:val="00AB5958"/>
    <w:rsid w:val="00AB678F"/>
    <w:rsid w:val="00AB6EF6"/>
    <w:rsid w:val="00AC3BA3"/>
    <w:rsid w:val="00AC4500"/>
    <w:rsid w:val="00AC5C3D"/>
    <w:rsid w:val="00AD0319"/>
    <w:rsid w:val="00AD11B6"/>
    <w:rsid w:val="00AD19A1"/>
    <w:rsid w:val="00AD2DC0"/>
    <w:rsid w:val="00AD4BB4"/>
    <w:rsid w:val="00AD5B9F"/>
    <w:rsid w:val="00AE4A64"/>
    <w:rsid w:val="00AE6A15"/>
    <w:rsid w:val="00AF1827"/>
    <w:rsid w:val="00AF2EE0"/>
    <w:rsid w:val="00B02C10"/>
    <w:rsid w:val="00B03EB8"/>
    <w:rsid w:val="00B05AC9"/>
    <w:rsid w:val="00B05BCF"/>
    <w:rsid w:val="00B065F6"/>
    <w:rsid w:val="00B134DC"/>
    <w:rsid w:val="00B1431E"/>
    <w:rsid w:val="00B22881"/>
    <w:rsid w:val="00B26344"/>
    <w:rsid w:val="00B2754E"/>
    <w:rsid w:val="00B2773F"/>
    <w:rsid w:val="00B27E60"/>
    <w:rsid w:val="00B32CC0"/>
    <w:rsid w:val="00B32D05"/>
    <w:rsid w:val="00B34B12"/>
    <w:rsid w:val="00B36879"/>
    <w:rsid w:val="00B36F1D"/>
    <w:rsid w:val="00B37211"/>
    <w:rsid w:val="00B378A7"/>
    <w:rsid w:val="00B378CA"/>
    <w:rsid w:val="00B42746"/>
    <w:rsid w:val="00B54D95"/>
    <w:rsid w:val="00B555BE"/>
    <w:rsid w:val="00B556D4"/>
    <w:rsid w:val="00B62A29"/>
    <w:rsid w:val="00B64405"/>
    <w:rsid w:val="00B70AE9"/>
    <w:rsid w:val="00B70FFE"/>
    <w:rsid w:val="00B76912"/>
    <w:rsid w:val="00B83EB1"/>
    <w:rsid w:val="00B84DDA"/>
    <w:rsid w:val="00B85C67"/>
    <w:rsid w:val="00B93577"/>
    <w:rsid w:val="00B9435D"/>
    <w:rsid w:val="00B952A5"/>
    <w:rsid w:val="00B972A7"/>
    <w:rsid w:val="00B979AC"/>
    <w:rsid w:val="00BA0B06"/>
    <w:rsid w:val="00BA20E4"/>
    <w:rsid w:val="00BB0444"/>
    <w:rsid w:val="00BB1957"/>
    <w:rsid w:val="00BB6BC0"/>
    <w:rsid w:val="00BC22F2"/>
    <w:rsid w:val="00BC765D"/>
    <w:rsid w:val="00BD094F"/>
    <w:rsid w:val="00BD1B7B"/>
    <w:rsid w:val="00BD2C9E"/>
    <w:rsid w:val="00BD43AC"/>
    <w:rsid w:val="00BD5C07"/>
    <w:rsid w:val="00BD7602"/>
    <w:rsid w:val="00BE639E"/>
    <w:rsid w:val="00BF055C"/>
    <w:rsid w:val="00BF05B4"/>
    <w:rsid w:val="00BF2394"/>
    <w:rsid w:val="00BF3D60"/>
    <w:rsid w:val="00BF48B4"/>
    <w:rsid w:val="00BF4F94"/>
    <w:rsid w:val="00BF7F09"/>
    <w:rsid w:val="00C006A9"/>
    <w:rsid w:val="00C02521"/>
    <w:rsid w:val="00C0745D"/>
    <w:rsid w:val="00C103CC"/>
    <w:rsid w:val="00C10994"/>
    <w:rsid w:val="00C1176B"/>
    <w:rsid w:val="00C20244"/>
    <w:rsid w:val="00C21322"/>
    <w:rsid w:val="00C26005"/>
    <w:rsid w:val="00C30A60"/>
    <w:rsid w:val="00C329FF"/>
    <w:rsid w:val="00C355F7"/>
    <w:rsid w:val="00C36A4C"/>
    <w:rsid w:val="00C373D6"/>
    <w:rsid w:val="00C37F6D"/>
    <w:rsid w:val="00C46A24"/>
    <w:rsid w:val="00C46CD5"/>
    <w:rsid w:val="00C50721"/>
    <w:rsid w:val="00C531AB"/>
    <w:rsid w:val="00C53C5F"/>
    <w:rsid w:val="00C551A4"/>
    <w:rsid w:val="00C61799"/>
    <w:rsid w:val="00C61A27"/>
    <w:rsid w:val="00C625E3"/>
    <w:rsid w:val="00C64452"/>
    <w:rsid w:val="00C65259"/>
    <w:rsid w:val="00C658ED"/>
    <w:rsid w:val="00C65BD9"/>
    <w:rsid w:val="00C7061F"/>
    <w:rsid w:val="00C706F0"/>
    <w:rsid w:val="00C73A25"/>
    <w:rsid w:val="00C759C7"/>
    <w:rsid w:val="00C7752E"/>
    <w:rsid w:val="00C8048A"/>
    <w:rsid w:val="00C80FB9"/>
    <w:rsid w:val="00C8254B"/>
    <w:rsid w:val="00C84B53"/>
    <w:rsid w:val="00C95C89"/>
    <w:rsid w:val="00C965B3"/>
    <w:rsid w:val="00C97CD0"/>
    <w:rsid w:val="00CA3FAC"/>
    <w:rsid w:val="00CA4A3A"/>
    <w:rsid w:val="00CA751E"/>
    <w:rsid w:val="00CA7E03"/>
    <w:rsid w:val="00CB1A6A"/>
    <w:rsid w:val="00CB6019"/>
    <w:rsid w:val="00CB6761"/>
    <w:rsid w:val="00CC5B9A"/>
    <w:rsid w:val="00CC60CD"/>
    <w:rsid w:val="00CD53A5"/>
    <w:rsid w:val="00CD5B6D"/>
    <w:rsid w:val="00CD656D"/>
    <w:rsid w:val="00CE0BB1"/>
    <w:rsid w:val="00CE6C25"/>
    <w:rsid w:val="00CF1CD4"/>
    <w:rsid w:val="00CF2BFA"/>
    <w:rsid w:val="00CF3213"/>
    <w:rsid w:val="00CF4637"/>
    <w:rsid w:val="00D02187"/>
    <w:rsid w:val="00D13113"/>
    <w:rsid w:val="00D15165"/>
    <w:rsid w:val="00D17CE1"/>
    <w:rsid w:val="00D17E5E"/>
    <w:rsid w:val="00D20F29"/>
    <w:rsid w:val="00D25EA0"/>
    <w:rsid w:val="00D325F3"/>
    <w:rsid w:val="00D32FD8"/>
    <w:rsid w:val="00D37652"/>
    <w:rsid w:val="00D42844"/>
    <w:rsid w:val="00D433D0"/>
    <w:rsid w:val="00D505A4"/>
    <w:rsid w:val="00D57622"/>
    <w:rsid w:val="00D60A82"/>
    <w:rsid w:val="00D613C6"/>
    <w:rsid w:val="00D61C4C"/>
    <w:rsid w:val="00D632BC"/>
    <w:rsid w:val="00D65221"/>
    <w:rsid w:val="00D73235"/>
    <w:rsid w:val="00D73C3D"/>
    <w:rsid w:val="00D7494D"/>
    <w:rsid w:val="00D809EE"/>
    <w:rsid w:val="00D811A9"/>
    <w:rsid w:val="00D8127E"/>
    <w:rsid w:val="00D838C0"/>
    <w:rsid w:val="00D91251"/>
    <w:rsid w:val="00D943A3"/>
    <w:rsid w:val="00D96AD5"/>
    <w:rsid w:val="00DA1937"/>
    <w:rsid w:val="00DA248E"/>
    <w:rsid w:val="00DA36B3"/>
    <w:rsid w:val="00DA775D"/>
    <w:rsid w:val="00DB078B"/>
    <w:rsid w:val="00DB264F"/>
    <w:rsid w:val="00DB5CA0"/>
    <w:rsid w:val="00DC69F7"/>
    <w:rsid w:val="00DD28BE"/>
    <w:rsid w:val="00DD3A8D"/>
    <w:rsid w:val="00DD4A54"/>
    <w:rsid w:val="00DD560E"/>
    <w:rsid w:val="00DD7180"/>
    <w:rsid w:val="00DE30D6"/>
    <w:rsid w:val="00DE46F4"/>
    <w:rsid w:val="00DF0909"/>
    <w:rsid w:val="00DF344A"/>
    <w:rsid w:val="00DF3A77"/>
    <w:rsid w:val="00DF3F82"/>
    <w:rsid w:val="00DF5F75"/>
    <w:rsid w:val="00DF6086"/>
    <w:rsid w:val="00DF6EB3"/>
    <w:rsid w:val="00E12F3E"/>
    <w:rsid w:val="00E14410"/>
    <w:rsid w:val="00E2121B"/>
    <w:rsid w:val="00E24E38"/>
    <w:rsid w:val="00E26AB6"/>
    <w:rsid w:val="00E330E6"/>
    <w:rsid w:val="00E336A0"/>
    <w:rsid w:val="00E41920"/>
    <w:rsid w:val="00E42B72"/>
    <w:rsid w:val="00E42F7B"/>
    <w:rsid w:val="00E446A4"/>
    <w:rsid w:val="00E451C4"/>
    <w:rsid w:val="00E46A95"/>
    <w:rsid w:val="00E46D80"/>
    <w:rsid w:val="00E537DE"/>
    <w:rsid w:val="00E61956"/>
    <w:rsid w:val="00E61E95"/>
    <w:rsid w:val="00E62BC5"/>
    <w:rsid w:val="00E7203F"/>
    <w:rsid w:val="00E77B3E"/>
    <w:rsid w:val="00E77E13"/>
    <w:rsid w:val="00E82E32"/>
    <w:rsid w:val="00E83530"/>
    <w:rsid w:val="00E86A2D"/>
    <w:rsid w:val="00E94B2C"/>
    <w:rsid w:val="00E96DD9"/>
    <w:rsid w:val="00E97875"/>
    <w:rsid w:val="00E97EDB"/>
    <w:rsid w:val="00EA1DEC"/>
    <w:rsid w:val="00EA298B"/>
    <w:rsid w:val="00EA44A8"/>
    <w:rsid w:val="00EA44F6"/>
    <w:rsid w:val="00EA492B"/>
    <w:rsid w:val="00EB1167"/>
    <w:rsid w:val="00EB1DBC"/>
    <w:rsid w:val="00EB26BA"/>
    <w:rsid w:val="00EB2FCA"/>
    <w:rsid w:val="00EB3CDB"/>
    <w:rsid w:val="00EB55BE"/>
    <w:rsid w:val="00EC3118"/>
    <w:rsid w:val="00EC4929"/>
    <w:rsid w:val="00ED0493"/>
    <w:rsid w:val="00ED2552"/>
    <w:rsid w:val="00ED3423"/>
    <w:rsid w:val="00ED3EEA"/>
    <w:rsid w:val="00ED70C7"/>
    <w:rsid w:val="00ED72F9"/>
    <w:rsid w:val="00ED7BD3"/>
    <w:rsid w:val="00ED7CF4"/>
    <w:rsid w:val="00EE2118"/>
    <w:rsid w:val="00EE31BF"/>
    <w:rsid w:val="00EE32A1"/>
    <w:rsid w:val="00EE4347"/>
    <w:rsid w:val="00EE598B"/>
    <w:rsid w:val="00EE639E"/>
    <w:rsid w:val="00EE63C2"/>
    <w:rsid w:val="00EE67D2"/>
    <w:rsid w:val="00EF1DD9"/>
    <w:rsid w:val="00EF28E1"/>
    <w:rsid w:val="00EF5E20"/>
    <w:rsid w:val="00EF5E7B"/>
    <w:rsid w:val="00F01541"/>
    <w:rsid w:val="00F018FC"/>
    <w:rsid w:val="00F01CC2"/>
    <w:rsid w:val="00F03845"/>
    <w:rsid w:val="00F11758"/>
    <w:rsid w:val="00F1323E"/>
    <w:rsid w:val="00F13648"/>
    <w:rsid w:val="00F13F5F"/>
    <w:rsid w:val="00F15D10"/>
    <w:rsid w:val="00F1627B"/>
    <w:rsid w:val="00F17304"/>
    <w:rsid w:val="00F23791"/>
    <w:rsid w:val="00F23D58"/>
    <w:rsid w:val="00F26A82"/>
    <w:rsid w:val="00F27637"/>
    <w:rsid w:val="00F336E3"/>
    <w:rsid w:val="00F34AD3"/>
    <w:rsid w:val="00F35484"/>
    <w:rsid w:val="00F36561"/>
    <w:rsid w:val="00F36858"/>
    <w:rsid w:val="00F377DB"/>
    <w:rsid w:val="00F46E39"/>
    <w:rsid w:val="00F50216"/>
    <w:rsid w:val="00F516E0"/>
    <w:rsid w:val="00F60313"/>
    <w:rsid w:val="00F60D09"/>
    <w:rsid w:val="00F62882"/>
    <w:rsid w:val="00F7090D"/>
    <w:rsid w:val="00F747EA"/>
    <w:rsid w:val="00F74B1D"/>
    <w:rsid w:val="00F76770"/>
    <w:rsid w:val="00F76F4A"/>
    <w:rsid w:val="00F82DF8"/>
    <w:rsid w:val="00F83D2D"/>
    <w:rsid w:val="00F8417C"/>
    <w:rsid w:val="00F91792"/>
    <w:rsid w:val="00F91E5E"/>
    <w:rsid w:val="00F961C6"/>
    <w:rsid w:val="00F96342"/>
    <w:rsid w:val="00FA0698"/>
    <w:rsid w:val="00FA32CD"/>
    <w:rsid w:val="00FA3FF4"/>
    <w:rsid w:val="00FA5199"/>
    <w:rsid w:val="00FA5B6B"/>
    <w:rsid w:val="00FA67AC"/>
    <w:rsid w:val="00FB020A"/>
    <w:rsid w:val="00FB08CE"/>
    <w:rsid w:val="00FB269A"/>
    <w:rsid w:val="00FB4CA5"/>
    <w:rsid w:val="00FB6BDD"/>
    <w:rsid w:val="00FC45B2"/>
    <w:rsid w:val="00FC5AD5"/>
    <w:rsid w:val="00FC654B"/>
    <w:rsid w:val="00FC6984"/>
    <w:rsid w:val="00FC772D"/>
    <w:rsid w:val="00FD0172"/>
    <w:rsid w:val="00FD1116"/>
    <w:rsid w:val="00FD31BA"/>
    <w:rsid w:val="00FD47AC"/>
    <w:rsid w:val="00FD5904"/>
    <w:rsid w:val="00FE02BB"/>
    <w:rsid w:val="00FE02CE"/>
    <w:rsid w:val="00FE1BF0"/>
    <w:rsid w:val="00FF0BC6"/>
    <w:rsid w:val="00FF1F2D"/>
    <w:rsid w:val="00FF1FFE"/>
    <w:rsid w:val="00FF5123"/>
    <w:rsid w:val="00FF5F51"/>
    <w:rsid w:val="00FF687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0D329"/>
  <w15:docId w15:val="{EF58185D-8217-47D2-9350-90909E6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60"/>
  </w:style>
  <w:style w:type="paragraph" w:styleId="Heading1">
    <w:name w:val="heading 1"/>
    <w:basedOn w:val="Normal"/>
    <w:next w:val="Normal"/>
    <w:link w:val="Heading1Char"/>
    <w:uiPriority w:val="9"/>
    <w:qFormat/>
    <w:rsid w:val="009649A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E5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0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E5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6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72A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A7"/>
  </w:style>
  <w:style w:type="paragraph" w:styleId="Footer">
    <w:name w:val="footer"/>
    <w:basedOn w:val="Normal"/>
    <w:link w:val="FooterChar"/>
    <w:uiPriority w:val="99"/>
    <w:unhideWhenUsed/>
    <w:rsid w:val="00B972A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A7"/>
  </w:style>
  <w:style w:type="paragraph" w:customStyle="1" w:styleId="TableParagraph">
    <w:name w:val="Table Paragraph"/>
    <w:basedOn w:val="Normal"/>
    <w:uiPriority w:val="1"/>
    <w:qFormat/>
    <w:rsid w:val="0060766D"/>
    <w:pPr>
      <w:widowControl w:val="0"/>
      <w:autoSpaceDE w:val="0"/>
      <w:autoSpaceDN w:val="0"/>
      <w:spacing w:after="0" w:line="255" w:lineRule="exact"/>
      <w:ind w:left="107"/>
      <w:jc w:val="center"/>
    </w:pPr>
    <w:rPr>
      <w:rFonts w:ascii="Verdana" w:eastAsia="Verdana" w:hAnsi="Verdana" w:cs="Verdana"/>
      <w:sz w:val="22"/>
      <w:szCs w:val="22"/>
    </w:rPr>
  </w:style>
  <w:style w:type="paragraph" w:styleId="ListParagraph">
    <w:name w:val="List Paragraph"/>
    <w:basedOn w:val="Normal"/>
    <w:uiPriority w:val="1"/>
    <w:qFormat/>
    <w:rsid w:val="00B972A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972A7"/>
  </w:style>
  <w:style w:type="paragraph" w:styleId="BalloonText">
    <w:name w:val="Balloon Text"/>
    <w:basedOn w:val="Normal"/>
    <w:link w:val="BalloonTextChar"/>
    <w:uiPriority w:val="99"/>
    <w:semiHidden/>
    <w:unhideWhenUsed/>
    <w:rsid w:val="00B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2A7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1D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paragraph">
    <w:name w:val="paragraph"/>
    <w:basedOn w:val="Normal"/>
    <w:rsid w:val="00751AB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0E6DF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5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55C"/>
    <w:pPr>
      <w:outlineLvl w:val="9"/>
    </w:pPr>
    <w:rPr>
      <w:lang w:eastAsia="ja-JP"/>
    </w:rPr>
  </w:style>
  <w:style w:type="paragraph" w:styleId="Revision">
    <w:name w:val="Revision"/>
    <w:hidden/>
    <w:uiPriority w:val="99"/>
    <w:semiHidden/>
    <w:rsid w:val="002C3E8F"/>
    <w:pPr>
      <w:spacing w:after="0" w:line="240" w:lineRule="auto"/>
    </w:pPr>
  </w:style>
  <w:style w:type="table" w:styleId="TableGrid">
    <w:name w:val="Table Grid"/>
    <w:basedOn w:val="TableNormal"/>
    <w:uiPriority w:val="59"/>
    <w:rsid w:val="0057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7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7DD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DE30D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8A5B52"/>
    <w:pPr>
      <w:spacing w:after="0" w:line="240" w:lineRule="auto"/>
    </w:pPr>
    <w:rPr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46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25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013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umpedfont15">
    <w:name w:val="bumpedfont15"/>
    <w:basedOn w:val="DefaultParagraphFont"/>
    <w:rsid w:val="00760135"/>
  </w:style>
  <w:style w:type="character" w:styleId="UnresolvedMention">
    <w:name w:val="Unresolved Mention"/>
    <w:basedOn w:val="DefaultParagraphFont"/>
    <w:uiPriority w:val="99"/>
    <w:semiHidden/>
    <w:unhideWhenUsed/>
    <w:rsid w:val="005A6D7D"/>
    <w:rPr>
      <w:color w:val="808080"/>
      <w:shd w:val="clear" w:color="auto" w:fill="E6E6E6"/>
    </w:rPr>
  </w:style>
  <w:style w:type="paragraph" w:customStyle="1" w:styleId="Style1">
    <w:name w:val="Style1"/>
    <w:basedOn w:val="Normal"/>
    <w:qFormat/>
    <w:rsid w:val="00F91E5E"/>
    <w:pPr>
      <w:spacing w:after="240" w:line="240" w:lineRule="auto"/>
    </w:pPr>
  </w:style>
  <w:style w:type="character" w:styleId="Strong">
    <w:name w:val="Strong"/>
    <w:basedOn w:val="DefaultParagraphFont"/>
    <w:uiPriority w:val="22"/>
    <w:qFormat/>
    <w:rsid w:val="00F91E5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43125"/>
    <w:pPr>
      <w:widowControl w:val="0"/>
      <w:autoSpaceDE w:val="0"/>
      <w:autoSpaceDN w:val="0"/>
      <w:spacing w:before="9" w:after="0" w:line="240" w:lineRule="auto"/>
      <w:ind w:left="1408" w:hanging="1304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43125"/>
    <w:rPr>
      <w:rFonts w:ascii="Verdana" w:eastAsia="Verdana" w:hAnsi="Verdana" w:cs="Verdana"/>
      <w:sz w:val="22"/>
      <w:szCs w:val="22"/>
    </w:rPr>
  </w:style>
  <w:style w:type="character" w:customStyle="1" w:styleId="normaltextrun">
    <w:name w:val="normaltextrun"/>
    <w:basedOn w:val="DefaultParagraphFont"/>
    <w:rsid w:val="00751AB8"/>
  </w:style>
  <w:style w:type="character" w:customStyle="1" w:styleId="eop">
    <w:name w:val="eop"/>
    <w:basedOn w:val="DefaultParagraphFont"/>
    <w:rsid w:val="0075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c.texas.gov/files/twc/commission_meeting_materials_08.23.22_item13c_24-25_lar_performance_target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c.texas.gov/files/twc/commission_meeting_materials_05.31.22_item8_fy202_wioa_ael_allocations_packe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fa1\Downloads\DP%20-%20AEL%20Performance%20PY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Date xmlns="13efc53b-a7e6-4120-b1e2-ae9f2851cca4" xsi:nil="true"/>
    <Minutes xmlns="13efc53b-a7e6-4120-b1e2-ae9f2851cca4">
      <Url xsi:nil="true"/>
      <Description xsi:nil="true"/>
    </Minutes>
    <Sub_x002d_Project xmlns="13efc53b-a7e6-4120-b1e2-ae9f2851cca4" xsi:nil="true"/>
    <Project xmlns="13efc53b-a7e6-4120-b1e2-ae9f2851cca4" xsi:nil="true"/>
    <DueDate xmlns="13efc53b-a7e6-4120-b1e2-ae9f2851cca4" xsi:nil="true"/>
    <Completion_x002f_Posted_x0020_Date xmlns="13efc53b-a7e6-4120-b1e2-ae9f2851cca4" xsi:nil="true"/>
    <Status xmlns="13efc53b-a7e6-4120-b1e2-ae9f2851cca4" xsi:nil="true"/>
    <Notes0 xmlns="13efc53b-a7e6-4120-b1e2-ae9f2851cca4" xsi:nil="true"/>
    <Doc_x0020_Type xmlns="13efc53b-a7e6-4120-b1e2-ae9f2851cca4">Letter/TAB</Doc_x0020_Type>
    <CommissionDate xmlns="13efc53b-a7e6-4120-b1e2-ae9f2851cca4" xsi:nil="true"/>
    <Year xmlns="13efc53b-a7e6-4120-b1e2-ae9f2851cca4" xsi:nil="true"/>
    <Presenter xmlns="13efc53b-a7e6-4120-b1e2-ae9f2851cca4" xsi:nil="true"/>
    <PolicyDescription xmlns="13efc53b-a7e6-4120-b1e2-ae9f2851cca4" xsi:nil="true"/>
    <CommissionItem_x002f_PolicyItem xmlns="13efc53b-a7e6-4120-b1e2-ae9f2851cca4" xsi:nil="true"/>
    <lcf76f155ced4ddcb4097134ff3c332f xmlns="13efc53b-a7e6-4120-b1e2-ae9f2851cca4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2EF4A736D54D8E4B9DE0299C9E6E" ma:contentTypeVersion="52" ma:contentTypeDescription="Create a new document." ma:contentTypeScope="" ma:versionID="8564a22fab38f98e61c0a6d82828f8d0">
  <xsd:schema xmlns:xsd="http://www.w3.org/2001/XMLSchema" xmlns:xs="http://www.w3.org/2001/XMLSchema" xmlns:p="http://schemas.microsoft.com/office/2006/metadata/properties" xmlns:ns1="13efc53b-a7e6-4120-b1e2-ae9f2851cca4" xmlns:ns3="35625ac7-1bfd-4a7f-9a7f-d13086bfa749" xmlns:ns4="baf464a5-443c-4111-9af5-10917cd50cf0" targetNamespace="http://schemas.microsoft.com/office/2006/metadata/properties" ma:root="true" ma:fieldsID="d089e32c241aef974fc71721dfef1428" ns1:_="" ns3:_="" ns4:_="">
    <xsd:import namespace="13efc53b-a7e6-4120-b1e2-ae9f2851cca4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1:Project" minOccurs="0"/>
                <xsd:element ref="ns1:Sub_x002d_Project" minOccurs="0"/>
                <xsd:element ref="ns1:Doc_x0020_Type" minOccurs="0"/>
                <xsd:element ref="ns1:Status" minOccurs="0"/>
                <xsd:element ref="ns1:CommissionItem_x002f_PolicyItem" minOccurs="0"/>
                <xsd:element ref="ns1:Notes0" minOccurs="0"/>
                <xsd:element ref="ns1:Completion_x002f_Posted_x0020_Date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CommissionDate" minOccurs="0"/>
                <xsd:element ref="ns1:SubmittedDate" minOccurs="0"/>
                <xsd:element ref="ns1:Year" minOccurs="0"/>
                <xsd:element ref="ns1:Minutes" minOccurs="0"/>
                <xsd:element ref="ns1:Presenter" minOccurs="0"/>
                <xsd:element ref="ns1:PolicyDescription" minOccurs="0"/>
                <xsd:element ref="ns1:lcf76f155ced4ddcb4097134ff3c332f" minOccurs="0"/>
                <xsd:element ref="ns4:TaxCatchAll" minOccurs="0"/>
                <xsd:element ref="ns1:MediaServiceDateTaken" minOccurs="0"/>
                <xsd:element ref="ns1:MediaServiceGenerationTime" minOccurs="0"/>
                <xsd:element ref="ns1:MediaServiceEventHashCode" minOccurs="0"/>
                <xsd:element ref="ns1:DueDate" minOccurs="0"/>
                <xsd:element ref="ns1:MediaServiceOCR" minOccurs="0"/>
                <xsd:element ref="ns1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53b-a7e6-4120-b1e2-ae9f2851cca4" elementFormDefault="qualified">
    <xsd:import namespace="http://schemas.microsoft.com/office/2006/documentManagement/types"/>
    <xsd:import namespace="http://schemas.microsoft.com/office/infopath/2007/PartnerControls"/>
    <xsd:element name="Project" ma:index="0" nillable="true" ma:displayName="AEL Policy Project" ma:internalName="Project" ma:readOnly="false">
      <xsd:simpleType>
        <xsd:restriction base="dms:Text">
          <xsd:maxLength value="255"/>
        </xsd:restriction>
      </xsd:simpleType>
    </xsd:element>
    <xsd:element name="Sub_x002d_Project" ma:index="1" nillable="true" ma:displayName="Sub-Project" ma:internalName="Sub_x002d_Project" ma:readOnly="false">
      <xsd:simpleType>
        <xsd:restriction base="dms:Text">
          <xsd:maxLength value="255"/>
        </xsd:restriction>
      </xsd:simpleType>
    </xsd:element>
    <xsd:element name="Doc_x0020_Type" ma:index="2" nillable="true" ma:displayName="Doc Type" ma:default="Letter/TAB" ma:format="Dropdown" ma:internalName="Doc_x0020_Type">
      <xsd:simpleType>
        <xsd:restriction base="dms:Choice">
          <xsd:enumeration value="Letter/TAB"/>
          <xsd:enumeration value="Guide"/>
          <xsd:enumeration value="Attachment"/>
          <xsd:enumeration value="Supplemental"/>
          <xsd:enumeration value="DP"/>
          <xsd:enumeration value="Report"/>
          <xsd:enumeration value="Talking Points"/>
          <xsd:enumeration value="Leg Resource"/>
        </xsd:restriction>
      </xsd:simpleType>
    </xsd:element>
    <xsd:element name="Status" ma:index="3" nillable="true" ma:displayName="Stage" ma:format="Dropdown" ma:internalName="Status">
      <xsd:simpleType>
        <xsd:restriction base="dms:Choice">
          <xsd:enumeration value="Draft - Author (Initial Stage)"/>
          <xsd:enumeration value="Draft – Author/Director"/>
          <xsd:enumeration value="Review – Integrated Review"/>
          <xsd:enumeration value="Review - AEL Author"/>
          <xsd:enumeration value="Review - WF Ed Deputy Director"/>
          <xsd:enumeration value="Review - AEL Director"/>
          <xsd:enumeration value="Review - Editing"/>
          <xsd:enumeration value="Review - 48-Hour"/>
          <xsd:enumeration value="Review - 5-Day"/>
          <xsd:enumeration value="Review – Deputy Division Director"/>
          <xsd:enumeration value="Briefing - Exec Mgmt."/>
          <xsd:enumeration value="Briefing - Commission Staff Week 1"/>
          <xsd:enumeration value="Briefing - Commission Staff Week 2"/>
          <xsd:enumeration value="Briefing - Commission Staff Week 3"/>
          <xsd:enumeration value="Notebook"/>
          <xsd:enumeration value="Complete (Commission Approved/Published)"/>
        </xsd:restriction>
      </xsd:simpleType>
    </xsd:element>
    <xsd:element name="CommissionItem_x002f_PolicyItem" ma:index="4" nillable="true" ma:displayName="Commission/Policy/Internal Item" ma:format="Dropdown" ma:internalName="CommissionItem_x002f_PolicyItem">
      <xsd:simpleType>
        <xsd:restriction base="dms:Choice">
          <xsd:enumeration value="Commission Action Item"/>
          <xsd:enumeration value="Commission Informational Item"/>
          <xsd:enumeration value="Policy Item"/>
          <xsd:enumeration value="TWC Internal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Completion_x002f_Posted_x0020_Date" ma:index="7" nillable="true" ma:displayName="Publication Date" ma:format="DateOnly" ma:hidden="true" ma:internalName="Completion_x002f_Posted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issionDate" ma:index="19" nillable="true" ma:displayName="Commission Date" ma:format="DateOnly" ma:internalName="CommissionDate">
      <xsd:simpleType>
        <xsd:restriction base="dms:DateTime"/>
      </xsd:simpleType>
    </xsd:element>
    <xsd:element name="SubmittedDate" ma:index="20" nillable="true" ma:displayName="Submitted Date" ma:format="DateOnly" ma:internalName="SubmittedDate">
      <xsd:simpleType>
        <xsd:restriction base="dms:DateTime"/>
      </xsd:simpleType>
    </xsd:element>
    <xsd:element name="Year" ma:index="21" nillable="true" ma:displayName="Year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Minutes" ma:index="22" nillable="true" ma:displayName="Minutes" ma:format="Hyperlink" ma:internalName="Minut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senter" ma:index="23" nillable="true" ma:displayName="Presenter" ma:format="Dropdown" ma:internalName="Presenter">
      <xsd:simpleType>
        <xsd:restriction base="dms:Choice">
          <xsd:enumeration value="AEL"/>
          <xsd:enumeration value="WDD"/>
          <xsd:enumeration value="SWI"/>
          <xsd:enumeration value="Budget/Finance"/>
          <xsd:enumeration value="I3"/>
          <xsd:enumeration value="WF Policy"/>
        </xsd:restriction>
      </xsd:simpleType>
    </xsd:element>
    <xsd:element name="PolicyDescription" ma:index="24" nillable="true" ma:displayName="Policy Description" ma:format="Dropdown" ma:internalName="PolicyDescription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31" nillable="true" ma:displayName="Date" ma:format="Dropdown" ma:internalName="DueDat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Letter/Guide/TAB/DP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1EB9-9485-47EE-B865-4B2CD9E7C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87E4A-C6D1-4EB7-B08A-AA94E96A4F1A}">
  <ds:schemaRefs>
    <ds:schemaRef ds:uri="http://schemas.microsoft.com/office/2006/metadata/properties"/>
    <ds:schemaRef ds:uri="http://schemas.microsoft.com/office/infopath/2007/PartnerControls"/>
    <ds:schemaRef ds:uri="13efc53b-a7e6-4120-b1e2-ae9f2851cca4"/>
    <ds:schemaRef ds:uri="baf464a5-443c-4111-9af5-10917cd50cf0"/>
  </ds:schemaRefs>
</ds:datastoreItem>
</file>

<file path=customXml/itemProps3.xml><?xml version="1.0" encoding="utf-8"?>
<ds:datastoreItem xmlns:ds="http://schemas.openxmlformats.org/officeDocument/2006/customXml" ds:itemID="{852ED195-39BB-4EE5-B614-0AB22387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53b-a7e6-4120-b1e2-ae9f2851cca4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CD8FF-9D72-408B-B673-82997CA6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 - AEL Performance PY22-23</Template>
  <TotalTime>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10397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https://twc.texas.gov/files/twc/commission_meeting_materials_08.23.22_item13c_24-25_lar_performance_targets.pdf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https://twc.texas.gov/files/twc/commission_meeting_materials_05.31.22_item8_fy202_wioa_ael_allocations_packet.pdf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Ramirez,Fabiana</dc:creator>
  <cp:keywords/>
  <cp:lastModifiedBy>Baldini,Mahalia C</cp:lastModifiedBy>
  <cp:revision>6</cp:revision>
  <cp:lastPrinted>2017-12-22T17:30:00Z</cp:lastPrinted>
  <dcterms:created xsi:type="dcterms:W3CDTF">2022-10-05T15:13:00Z</dcterms:created>
  <dcterms:modified xsi:type="dcterms:W3CDTF">2022-10-05T22:01:00Z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0x010100DC192EF4A736D54D8E4B9DE0299C9E6E</vt:lpwstr>
  </property>
</Properties>
</file>