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8ACF" w14:textId="0D2D9E47" w:rsidR="00E30A5D" w:rsidRDefault="008A016C" w:rsidP="00F7267F">
      <w:pPr>
        <w:pStyle w:val="Heading1"/>
        <w:spacing w:before="0" w:after="160"/>
        <w:rPr>
          <w:rFonts w:ascii="Verdana" w:hAnsi="Verdana"/>
          <w:szCs w:val="22"/>
        </w:rPr>
      </w:pPr>
      <w:r w:rsidRPr="00F03A36">
        <w:rPr>
          <w:rFonts w:ascii="Verdana" w:hAnsi="Verdana"/>
          <w:b/>
          <w:szCs w:val="22"/>
        </w:rPr>
        <w:t>Introduction</w:t>
      </w:r>
      <w:r w:rsidRPr="00F03A36">
        <w:rPr>
          <w:rFonts w:ascii="Verdana" w:hAnsi="Verdana"/>
          <w:szCs w:val="22"/>
        </w:rPr>
        <w:t xml:space="preserve"> –</w:t>
      </w:r>
      <w:r w:rsidR="00486DFE">
        <w:rPr>
          <w:rFonts w:ascii="Verdana" w:hAnsi="Verdana"/>
          <w:szCs w:val="22"/>
        </w:rPr>
        <w:t>The Texas Workforce Commission (</w:t>
      </w:r>
      <w:r w:rsidR="00AC7A93">
        <w:rPr>
          <w:rFonts w:ascii="Verdana" w:hAnsi="Verdana"/>
          <w:szCs w:val="22"/>
        </w:rPr>
        <w:t>TWC</w:t>
      </w:r>
      <w:r w:rsidR="00486DFE">
        <w:rPr>
          <w:rFonts w:ascii="Verdana" w:hAnsi="Verdana"/>
          <w:szCs w:val="22"/>
        </w:rPr>
        <w:t>)</w:t>
      </w:r>
      <w:r w:rsidR="00AC7A93">
        <w:rPr>
          <w:rFonts w:ascii="Verdana" w:hAnsi="Verdana"/>
          <w:szCs w:val="22"/>
        </w:rPr>
        <w:t xml:space="preserve"> </w:t>
      </w:r>
      <w:r w:rsidR="006107B5">
        <w:rPr>
          <w:rFonts w:ascii="Verdana" w:hAnsi="Verdana"/>
          <w:szCs w:val="22"/>
        </w:rPr>
        <w:t xml:space="preserve">has historically </w:t>
      </w:r>
      <w:r w:rsidR="00AC7A93">
        <w:rPr>
          <w:rFonts w:ascii="Verdana" w:hAnsi="Verdana"/>
          <w:szCs w:val="22"/>
        </w:rPr>
        <w:t>contracted three</w:t>
      </w:r>
      <w:r w:rsidR="009A0BCB" w:rsidRPr="00F03A36">
        <w:rPr>
          <w:rFonts w:ascii="Verdana" w:hAnsi="Verdana"/>
          <w:szCs w:val="22"/>
        </w:rPr>
        <w:t xml:space="preserve"> sets </w:t>
      </w:r>
      <w:r w:rsidR="00CD5B8B" w:rsidRPr="00F03A36">
        <w:rPr>
          <w:rFonts w:ascii="Verdana" w:hAnsi="Verdana"/>
          <w:szCs w:val="22"/>
        </w:rPr>
        <w:t xml:space="preserve">of </w:t>
      </w:r>
      <w:r w:rsidR="006107B5">
        <w:rPr>
          <w:rFonts w:ascii="Verdana" w:hAnsi="Verdana"/>
          <w:szCs w:val="22"/>
        </w:rPr>
        <w:t xml:space="preserve">measures its </w:t>
      </w:r>
      <w:r w:rsidR="00CD5B8B" w:rsidRPr="00F03A36">
        <w:rPr>
          <w:rFonts w:ascii="Verdana" w:hAnsi="Verdana"/>
          <w:szCs w:val="22"/>
        </w:rPr>
        <w:t>AEL G</w:t>
      </w:r>
      <w:r w:rsidR="00F03A36" w:rsidRPr="00F03A36">
        <w:rPr>
          <w:rFonts w:ascii="Verdana" w:hAnsi="Verdana"/>
          <w:szCs w:val="22"/>
        </w:rPr>
        <w:t>rantee</w:t>
      </w:r>
      <w:r w:rsidR="00A80A13">
        <w:rPr>
          <w:rFonts w:ascii="Verdana" w:hAnsi="Verdana"/>
          <w:szCs w:val="22"/>
        </w:rPr>
        <w:t>s</w:t>
      </w:r>
      <w:r w:rsidR="00890F36">
        <w:rPr>
          <w:rFonts w:ascii="Verdana" w:hAnsi="Verdana"/>
          <w:szCs w:val="22"/>
        </w:rPr>
        <w:t xml:space="preserve"> and staff developed </w:t>
      </w:r>
      <w:r w:rsidR="007724FB">
        <w:rPr>
          <w:rFonts w:ascii="Verdana" w:hAnsi="Verdana"/>
          <w:szCs w:val="22"/>
        </w:rPr>
        <w:t>or negotiated targets for PY20</w:t>
      </w:r>
      <w:r w:rsidR="006107B5">
        <w:rPr>
          <w:rFonts w:ascii="Verdana" w:hAnsi="Verdana"/>
          <w:szCs w:val="22"/>
        </w:rPr>
        <w:t>:</w:t>
      </w:r>
    </w:p>
    <w:p w14:paraId="351FCF00" w14:textId="1DF4317C" w:rsidR="006107B5" w:rsidRPr="009D798D" w:rsidRDefault="006107B5" w:rsidP="006107B5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9D798D">
        <w:rPr>
          <w:rFonts w:ascii="Verdana" w:hAnsi="Verdana"/>
        </w:rPr>
        <w:t>Participants Served</w:t>
      </w:r>
      <w:r w:rsidR="007724FB" w:rsidRPr="009D798D">
        <w:rPr>
          <w:rFonts w:ascii="Verdana" w:hAnsi="Verdana"/>
        </w:rPr>
        <w:t xml:space="preserve"> (negotiated with each grantee)</w:t>
      </w:r>
      <w:r w:rsidR="00635D47" w:rsidRPr="009D798D">
        <w:rPr>
          <w:rFonts w:ascii="Verdana" w:hAnsi="Verdana"/>
        </w:rPr>
        <w:t>;</w:t>
      </w:r>
    </w:p>
    <w:p w14:paraId="02B5352A" w14:textId="2F3AF1CE" w:rsidR="00635D47" w:rsidRPr="009D798D" w:rsidRDefault="00635D47" w:rsidP="006107B5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9D798D">
        <w:rPr>
          <w:rFonts w:ascii="Verdana" w:hAnsi="Verdana"/>
        </w:rPr>
        <w:t>Measurable Skill Gains</w:t>
      </w:r>
      <w:r w:rsidR="007724FB" w:rsidRPr="009D798D">
        <w:rPr>
          <w:rFonts w:ascii="Verdana" w:hAnsi="Verdana"/>
        </w:rPr>
        <w:t xml:space="preserve"> (aligned with </w:t>
      </w:r>
      <w:r w:rsidR="002E4896" w:rsidRPr="009D798D">
        <w:rPr>
          <w:rFonts w:ascii="Verdana" w:hAnsi="Verdana"/>
        </w:rPr>
        <w:t>TWC’s targets negotiated with U.S. Department of Education (ED)</w:t>
      </w:r>
      <w:r w:rsidR="00A459B2">
        <w:rPr>
          <w:rFonts w:ascii="Verdana" w:hAnsi="Verdana"/>
        </w:rPr>
        <w:t>)</w:t>
      </w:r>
      <w:r w:rsidR="002E4896" w:rsidRPr="009D798D">
        <w:rPr>
          <w:rFonts w:ascii="Verdana" w:hAnsi="Verdana"/>
        </w:rPr>
        <w:t>;</w:t>
      </w:r>
    </w:p>
    <w:p w14:paraId="3800E543" w14:textId="6B5E6DFF" w:rsidR="00635D47" w:rsidRPr="009D798D" w:rsidRDefault="00A80A13" w:rsidP="006107B5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9D798D">
        <w:rPr>
          <w:rFonts w:ascii="Verdana" w:hAnsi="Verdana"/>
        </w:rPr>
        <w:t>WIOA Exit-based Outcome Measures</w:t>
      </w:r>
      <w:r w:rsidR="002E4896" w:rsidRPr="009D798D">
        <w:rPr>
          <w:rFonts w:ascii="Verdana" w:hAnsi="Verdana"/>
        </w:rPr>
        <w:t xml:space="preserve"> (based on the </w:t>
      </w:r>
      <w:r w:rsidR="0050389D" w:rsidRPr="009D798D">
        <w:rPr>
          <w:rFonts w:ascii="Verdana" w:hAnsi="Verdana"/>
        </w:rPr>
        <w:t xml:space="preserve">performance </w:t>
      </w:r>
      <w:r w:rsidR="002E4896" w:rsidRPr="009D798D">
        <w:rPr>
          <w:rFonts w:ascii="Verdana" w:hAnsi="Verdana"/>
        </w:rPr>
        <w:t xml:space="preserve">projections </w:t>
      </w:r>
      <w:r w:rsidR="0050389D" w:rsidRPr="009D798D">
        <w:rPr>
          <w:rFonts w:ascii="Verdana" w:hAnsi="Verdana"/>
        </w:rPr>
        <w:t>included in TWC’s Legislative Appropriations Request</w:t>
      </w:r>
      <w:r w:rsidR="001837D0" w:rsidRPr="009D798D">
        <w:rPr>
          <w:rFonts w:ascii="Verdana" w:hAnsi="Verdana"/>
        </w:rPr>
        <w:t xml:space="preserve"> (LAR) </w:t>
      </w:r>
      <w:bookmarkStart w:id="0" w:name="_GoBack"/>
      <w:bookmarkEnd w:id="0"/>
      <w:r w:rsidR="001837D0" w:rsidRPr="009D798D">
        <w:rPr>
          <w:rFonts w:ascii="Verdana" w:hAnsi="Verdana"/>
        </w:rPr>
        <w:t xml:space="preserve">approved by the Commission </w:t>
      </w:r>
      <w:r w:rsidR="0046106A" w:rsidRPr="009D798D">
        <w:rPr>
          <w:rFonts w:ascii="Verdana" w:hAnsi="Verdana"/>
        </w:rPr>
        <w:t>in October 2020</w:t>
      </w:r>
      <w:r w:rsidR="00E058AA" w:rsidRPr="009D798D">
        <w:rPr>
          <w:rFonts w:ascii="Verdana" w:hAnsi="Verdana"/>
        </w:rPr>
        <w:t>)</w:t>
      </w:r>
      <w:r w:rsidR="001849AD">
        <w:rPr>
          <w:rFonts w:ascii="Verdana" w:hAnsi="Verdana"/>
        </w:rPr>
        <w:t>.</w:t>
      </w:r>
    </w:p>
    <w:p w14:paraId="26B6E145" w14:textId="259E7F99" w:rsidR="009A0BCB" w:rsidRPr="00F03A36" w:rsidRDefault="00E30A5D" w:rsidP="00F7267F">
      <w:pPr>
        <w:pStyle w:val="Heading1"/>
        <w:spacing w:before="0" w:after="160"/>
        <w:rPr>
          <w:rFonts w:ascii="Verdana" w:hAnsi="Verdana"/>
        </w:rPr>
      </w:pPr>
      <w:r w:rsidRPr="00F03A36">
        <w:rPr>
          <w:rFonts w:ascii="Verdana" w:hAnsi="Verdana"/>
          <w:b/>
        </w:rPr>
        <w:t>PY</w:t>
      </w:r>
      <w:r w:rsidR="00A80A13">
        <w:rPr>
          <w:rFonts w:ascii="Verdana" w:hAnsi="Verdana"/>
          <w:b/>
        </w:rPr>
        <w:t xml:space="preserve">20 </w:t>
      </w:r>
      <w:r w:rsidRPr="00F03A36">
        <w:rPr>
          <w:rFonts w:ascii="Verdana" w:hAnsi="Verdana"/>
          <w:b/>
        </w:rPr>
        <w:t>Measures and Targets</w:t>
      </w:r>
      <w:r w:rsidRPr="00F03A36">
        <w:rPr>
          <w:rFonts w:ascii="Verdana" w:hAnsi="Verdana"/>
        </w:rPr>
        <w:t xml:space="preserve"> – </w:t>
      </w:r>
      <w:r w:rsidR="00C655FE" w:rsidRPr="00F03A36">
        <w:rPr>
          <w:rFonts w:ascii="Verdana" w:hAnsi="Verdana"/>
        </w:rPr>
        <w:t xml:space="preserve">Staff </w:t>
      </w:r>
      <w:r w:rsidR="00065A67">
        <w:rPr>
          <w:rFonts w:ascii="Verdana" w:hAnsi="Verdana"/>
        </w:rPr>
        <w:t>ha</w:t>
      </w:r>
      <w:r w:rsidR="00D97FAF">
        <w:rPr>
          <w:rFonts w:ascii="Verdana" w:hAnsi="Verdana"/>
        </w:rPr>
        <w:t>s</w:t>
      </w:r>
      <w:r w:rsidR="00065A67">
        <w:rPr>
          <w:rFonts w:ascii="Verdana" w:hAnsi="Verdana"/>
        </w:rPr>
        <w:t xml:space="preserve"> developed the following recommendations for PY</w:t>
      </w:r>
      <w:r w:rsidR="00346D08">
        <w:rPr>
          <w:rFonts w:ascii="Verdana" w:hAnsi="Verdana"/>
        </w:rPr>
        <w:t>20</w:t>
      </w:r>
      <w:r w:rsidR="00065A67">
        <w:rPr>
          <w:rFonts w:ascii="Verdana" w:hAnsi="Verdana"/>
        </w:rPr>
        <w:t xml:space="preserve"> AEL Grantee targets as outlined below</w:t>
      </w:r>
      <w:r w:rsidR="009A0BCB" w:rsidRPr="00F03A36">
        <w:rPr>
          <w:rFonts w:ascii="Verdana" w:hAnsi="Verdana"/>
        </w:rPr>
        <w:t>:</w:t>
      </w:r>
    </w:p>
    <w:p w14:paraId="50ECE523" w14:textId="44CC3DDD" w:rsidR="00C655FE" w:rsidRPr="00F03A36" w:rsidRDefault="009A0BCB" w:rsidP="00F7267F">
      <w:pPr>
        <w:pStyle w:val="ListParagraph"/>
        <w:numPr>
          <w:ilvl w:val="0"/>
          <w:numId w:val="4"/>
        </w:numPr>
        <w:contextualSpacing w:val="0"/>
        <w:rPr>
          <w:rFonts w:ascii="Verdana" w:hAnsi="Verdana"/>
        </w:rPr>
      </w:pPr>
      <w:r w:rsidRPr="00F03A36">
        <w:rPr>
          <w:rFonts w:ascii="Verdana" w:hAnsi="Verdana"/>
          <w:b/>
        </w:rPr>
        <w:t>Participants Served</w:t>
      </w:r>
      <w:r w:rsidRPr="00F03A36">
        <w:rPr>
          <w:rFonts w:ascii="Verdana" w:hAnsi="Verdana"/>
        </w:rPr>
        <w:t xml:space="preserve"> – TWC’s </w:t>
      </w:r>
      <w:r w:rsidR="00EC6098">
        <w:rPr>
          <w:rFonts w:ascii="Verdana" w:hAnsi="Verdana"/>
        </w:rPr>
        <w:t xml:space="preserve">2020-2021 </w:t>
      </w:r>
      <w:r w:rsidR="00052D4D">
        <w:rPr>
          <w:rFonts w:ascii="Verdana" w:hAnsi="Verdana"/>
        </w:rPr>
        <w:t>LAR projected 70,</w:t>
      </w:r>
      <w:r w:rsidR="005B6FAA">
        <w:rPr>
          <w:rFonts w:ascii="Verdana" w:hAnsi="Verdana"/>
        </w:rPr>
        <w:t>509 Participants being served</w:t>
      </w:r>
      <w:r w:rsidR="00717801">
        <w:rPr>
          <w:rFonts w:ascii="Verdana" w:hAnsi="Verdana"/>
        </w:rPr>
        <w:t xml:space="preserve"> for this year </w:t>
      </w:r>
      <w:r w:rsidR="00FA040C">
        <w:rPr>
          <w:rFonts w:ascii="Verdana" w:hAnsi="Verdana"/>
        </w:rPr>
        <w:t>w</w:t>
      </w:r>
      <w:r w:rsidR="00847B83">
        <w:rPr>
          <w:rFonts w:ascii="Verdana" w:hAnsi="Verdana"/>
        </w:rPr>
        <w:t xml:space="preserve">hich </w:t>
      </w:r>
      <w:r w:rsidR="00B272A0">
        <w:rPr>
          <w:rFonts w:ascii="Verdana" w:hAnsi="Verdana"/>
        </w:rPr>
        <w:t>assumed a</w:t>
      </w:r>
      <w:r w:rsidR="00C655FE" w:rsidRPr="00F03A36">
        <w:rPr>
          <w:rFonts w:ascii="Verdana" w:hAnsi="Verdana"/>
        </w:rPr>
        <w:t xml:space="preserve"> mix of three tiers</w:t>
      </w:r>
      <w:r w:rsidR="00B272A0">
        <w:rPr>
          <w:rFonts w:ascii="Verdana" w:hAnsi="Verdana"/>
        </w:rPr>
        <w:t xml:space="preserve"> of service</w:t>
      </w:r>
      <w:r w:rsidR="00AC7A93">
        <w:rPr>
          <w:rFonts w:ascii="Verdana" w:hAnsi="Verdana"/>
        </w:rPr>
        <w:t xml:space="preserve"> with different cost assumptions</w:t>
      </w:r>
      <w:r w:rsidR="00C655FE" w:rsidRPr="00F03A36">
        <w:rPr>
          <w:rFonts w:ascii="Verdana" w:hAnsi="Verdana"/>
        </w:rPr>
        <w:t>:</w:t>
      </w:r>
    </w:p>
    <w:p w14:paraId="2B1F5E16" w14:textId="5F8B4241" w:rsidR="00C655FE" w:rsidRPr="00F03A36" w:rsidRDefault="00C655FE" w:rsidP="00F7267F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F03A36">
        <w:rPr>
          <w:rFonts w:ascii="Verdana" w:hAnsi="Verdana"/>
        </w:rPr>
        <w:t xml:space="preserve">Tier I </w:t>
      </w:r>
      <w:r w:rsidR="004112BC" w:rsidRPr="00F03A36">
        <w:rPr>
          <w:rFonts w:ascii="Verdana" w:hAnsi="Verdana"/>
        </w:rPr>
        <w:t>Basic</w:t>
      </w:r>
      <w:r w:rsidRPr="00F03A36">
        <w:rPr>
          <w:rFonts w:ascii="Verdana" w:hAnsi="Verdana"/>
        </w:rPr>
        <w:t xml:space="preserve"> AEL</w:t>
      </w:r>
      <w:r w:rsidR="00C4586C">
        <w:rPr>
          <w:rFonts w:ascii="Verdana" w:hAnsi="Verdana"/>
        </w:rPr>
        <w:t xml:space="preserve"> (assumed to c</w:t>
      </w:r>
      <w:r w:rsidR="003132CE">
        <w:rPr>
          <w:rFonts w:ascii="Verdana" w:hAnsi="Verdana"/>
        </w:rPr>
        <w:t>ost</w:t>
      </w:r>
      <w:r w:rsidR="00C4586C">
        <w:rPr>
          <w:rFonts w:ascii="Verdana" w:hAnsi="Verdana"/>
        </w:rPr>
        <w:t xml:space="preserve"> $840</w:t>
      </w:r>
      <w:r w:rsidR="003132CE">
        <w:rPr>
          <w:rFonts w:ascii="Verdana" w:hAnsi="Verdana"/>
        </w:rPr>
        <w:t xml:space="preserve"> per Participant)</w:t>
      </w:r>
      <w:r w:rsidR="00AC7A93">
        <w:rPr>
          <w:rFonts w:ascii="Verdana" w:hAnsi="Verdana"/>
        </w:rPr>
        <w:t>;</w:t>
      </w:r>
    </w:p>
    <w:p w14:paraId="6D693AD2" w14:textId="7D4EAC28" w:rsidR="00C655FE" w:rsidRPr="00F03A36" w:rsidRDefault="00C655FE" w:rsidP="00F7267F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F03A36">
        <w:rPr>
          <w:rFonts w:ascii="Verdana" w:hAnsi="Verdana"/>
        </w:rPr>
        <w:t>Tier II</w:t>
      </w:r>
      <w:r w:rsidR="004112BC" w:rsidRPr="00F03A36">
        <w:rPr>
          <w:rFonts w:ascii="Verdana" w:hAnsi="Verdana"/>
        </w:rPr>
        <w:t xml:space="preserve"> </w:t>
      </w:r>
      <w:r w:rsidRPr="00F03A36">
        <w:rPr>
          <w:rFonts w:ascii="Verdana" w:hAnsi="Verdana"/>
        </w:rPr>
        <w:t>Intensive AEL (Work-based, International Professional, and Transition to Reentry &amp; Post Release Services)</w:t>
      </w:r>
      <w:r w:rsidR="00AC7A93">
        <w:rPr>
          <w:rFonts w:ascii="Verdana" w:hAnsi="Verdana"/>
        </w:rPr>
        <w:t xml:space="preserve"> at </w:t>
      </w:r>
      <w:r w:rsidR="00BB0B28">
        <w:rPr>
          <w:rFonts w:ascii="Verdana" w:hAnsi="Verdana"/>
        </w:rPr>
        <w:t>(assumed to cost $</w:t>
      </w:r>
      <w:r w:rsidR="00E3693F">
        <w:rPr>
          <w:rFonts w:ascii="Verdana" w:hAnsi="Verdana"/>
        </w:rPr>
        <w:t>2</w:t>
      </w:r>
      <w:r w:rsidR="00BB0B28">
        <w:rPr>
          <w:rFonts w:ascii="Verdana" w:hAnsi="Verdana"/>
        </w:rPr>
        <w:t>50 more per Participant than Basic AEL)</w:t>
      </w:r>
      <w:r w:rsidR="00AC7A93">
        <w:rPr>
          <w:rFonts w:ascii="Verdana" w:hAnsi="Verdana"/>
        </w:rPr>
        <w:t>; and</w:t>
      </w:r>
    </w:p>
    <w:p w14:paraId="79027968" w14:textId="3AF7E3FA" w:rsidR="00C655FE" w:rsidRPr="00F03A36" w:rsidRDefault="00C655FE" w:rsidP="00F7267F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</w:rPr>
      </w:pPr>
      <w:r w:rsidRPr="00F03A36">
        <w:rPr>
          <w:rFonts w:ascii="Verdana" w:hAnsi="Verdana"/>
        </w:rPr>
        <w:t xml:space="preserve">Tier III </w:t>
      </w:r>
      <w:r w:rsidR="004112BC" w:rsidRPr="00F03A36">
        <w:rPr>
          <w:rFonts w:ascii="Verdana" w:hAnsi="Verdana"/>
        </w:rPr>
        <w:t>Integrated Education &amp; Training</w:t>
      </w:r>
      <w:r w:rsidR="00E72351" w:rsidRPr="00F03A36">
        <w:rPr>
          <w:rFonts w:ascii="Verdana" w:hAnsi="Verdana"/>
        </w:rPr>
        <w:t xml:space="preserve"> (IET)</w:t>
      </w:r>
      <w:r w:rsidRPr="00F03A36">
        <w:rPr>
          <w:rFonts w:ascii="Verdana" w:hAnsi="Verdana"/>
        </w:rPr>
        <w:t xml:space="preserve"> AEL</w:t>
      </w:r>
      <w:r w:rsidR="00BB0B28">
        <w:rPr>
          <w:rFonts w:ascii="Verdana" w:hAnsi="Verdana"/>
        </w:rPr>
        <w:t xml:space="preserve"> (assumed to cost $</w:t>
      </w:r>
      <w:r w:rsidR="00E3693F">
        <w:rPr>
          <w:rFonts w:ascii="Verdana" w:hAnsi="Verdana"/>
        </w:rPr>
        <w:t>9</w:t>
      </w:r>
      <w:r w:rsidR="00BB0B28">
        <w:rPr>
          <w:rFonts w:ascii="Verdana" w:hAnsi="Verdana"/>
        </w:rPr>
        <w:t>00 more per Participant than Basic AEL</w:t>
      </w:r>
      <w:r w:rsidR="00AC7A93">
        <w:rPr>
          <w:rFonts w:ascii="Verdana" w:hAnsi="Verdana"/>
        </w:rPr>
        <w:t>)</w:t>
      </w:r>
      <w:r w:rsidR="001A19D8">
        <w:rPr>
          <w:rFonts w:ascii="Verdana" w:hAnsi="Verdana"/>
        </w:rPr>
        <w:t>.</w:t>
      </w:r>
    </w:p>
    <w:p w14:paraId="258A6D04" w14:textId="4BC9AE7C" w:rsidR="00E73737" w:rsidRDefault="00847B83" w:rsidP="00E73737">
      <w:pPr>
        <w:ind w:left="720"/>
        <w:rPr>
          <w:rFonts w:ascii="Verdana" w:hAnsi="Verdana"/>
        </w:rPr>
      </w:pPr>
      <w:r>
        <w:rPr>
          <w:rFonts w:ascii="Verdana" w:hAnsi="Verdana"/>
        </w:rPr>
        <w:t>While the LAR assumed t</w:t>
      </w:r>
      <w:r w:rsidR="00E72351" w:rsidRPr="00F03A36">
        <w:rPr>
          <w:rFonts w:ascii="Verdana" w:hAnsi="Verdana"/>
        </w:rPr>
        <w:t xml:space="preserve">hat we would serve </w:t>
      </w:r>
      <w:r w:rsidR="009A3158">
        <w:rPr>
          <w:rFonts w:ascii="Verdana" w:hAnsi="Verdana"/>
        </w:rPr>
        <w:t>4</w:t>
      </w:r>
      <w:r w:rsidR="00C869E6">
        <w:rPr>
          <w:rFonts w:ascii="Verdana" w:hAnsi="Verdana"/>
        </w:rPr>
        <w:t>,</w:t>
      </w:r>
      <w:r w:rsidR="00AC7A93">
        <w:rPr>
          <w:rFonts w:ascii="Verdana" w:hAnsi="Verdana"/>
        </w:rPr>
        <w:t>5</w:t>
      </w:r>
      <w:r w:rsidR="009A3158">
        <w:rPr>
          <w:rFonts w:ascii="Verdana" w:hAnsi="Verdana"/>
        </w:rPr>
        <w:t>0</w:t>
      </w:r>
      <w:r w:rsidR="00E72351" w:rsidRPr="00F03A36">
        <w:rPr>
          <w:rFonts w:ascii="Verdana" w:hAnsi="Verdana"/>
        </w:rPr>
        <w:t>0 in Intensive</w:t>
      </w:r>
      <w:r w:rsidR="004112BC" w:rsidRPr="00F03A36">
        <w:rPr>
          <w:rFonts w:ascii="Verdana" w:hAnsi="Verdana"/>
        </w:rPr>
        <w:t xml:space="preserve"> and </w:t>
      </w:r>
      <w:r>
        <w:rPr>
          <w:rFonts w:ascii="Verdana" w:hAnsi="Verdana"/>
        </w:rPr>
        <w:t>6</w:t>
      </w:r>
      <w:r w:rsidR="00C869E6">
        <w:rPr>
          <w:rFonts w:ascii="Verdana" w:hAnsi="Verdana"/>
        </w:rPr>
        <w:t>,</w:t>
      </w:r>
      <w:r w:rsidR="009A3158">
        <w:rPr>
          <w:rFonts w:ascii="Verdana" w:hAnsi="Verdana"/>
        </w:rPr>
        <w:t>2</w:t>
      </w:r>
      <w:r>
        <w:rPr>
          <w:rFonts w:ascii="Verdana" w:hAnsi="Verdana"/>
        </w:rPr>
        <w:t>5</w:t>
      </w:r>
      <w:r w:rsidR="004112BC" w:rsidRPr="00F03A36">
        <w:rPr>
          <w:rFonts w:ascii="Verdana" w:hAnsi="Verdana"/>
        </w:rPr>
        <w:t xml:space="preserve">0 in IET, those </w:t>
      </w:r>
      <w:r w:rsidR="00B272A0">
        <w:rPr>
          <w:rFonts w:ascii="Verdana" w:hAnsi="Verdana"/>
        </w:rPr>
        <w:t xml:space="preserve">numbers </w:t>
      </w:r>
      <w:r w:rsidR="004112BC" w:rsidRPr="00F03A36">
        <w:rPr>
          <w:rFonts w:ascii="Verdana" w:hAnsi="Verdana"/>
        </w:rPr>
        <w:t xml:space="preserve">are not part of our formal </w:t>
      </w:r>
      <w:r w:rsidR="00E477D1">
        <w:rPr>
          <w:rFonts w:ascii="Verdana" w:hAnsi="Verdana"/>
        </w:rPr>
        <w:t>set of</w:t>
      </w:r>
      <w:r w:rsidR="00933E7A">
        <w:rPr>
          <w:rFonts w:ascii="Verdana" w:hAnsi="Verdana"/>
        </w:rPr>
        <w:t xml:space="preserve"> targets</w:t>
      </w:r>
      <w:r w:rsidR="004112BC" w:rsidRPr="00F03A36">
        <w:rPr>
          <w:rFonts w:ascii="Verdana" w:hAnsi="Verdana"/>
        </w:rPr>
        <w:t>.  This g</w:t>
      </w:r>
      <w:r w:rsidR="00B272A0">
        <w:rPr>
          <w:rFonts w:ascii="Verdana" w:hAnsi="Verdana"/>
        </w:rPr>
        <w:t>i</w:t>
      </w:r>
      <w:r w:rsidR="004112BC" w:rsidRPr="00F03A36">
        <w:rPr>
          <w:rFonts w:ascii="Verdana" w:hAnsi="Verdana"/>
        </w:rPr>
        <w:t>ves us flexibility in both the program/casemix and the d</w:t>
      </w:r>
      <w:r w:rsidR="00055A62">
        <w:rPr>
          <w:rFonts w:ascii="Verdana" w:hAnsi="Verdana"/>
        </w:rPr>
        <w:t>istribution of targets</w:t>
      </w:r>
      <w:r>
        <w:rPr>
          <w:rFonts w:ascii="Verdana" w:hAnsi="Verdana"/>
        </w:rPr>
        <w:t>.  However, in initiating nego</w:t>
      </w:r>
      <w:r w:rsidR="00E73737">
        <w:rPr>
          <w:rFonts w:ascii="Verdana" w:hAnsi="Verdana"/>
        </w:rPr>
        <w:t>ti</w:t>
      </w:r>
      <w:r>
        <w:rPr>
          <w:rFonts w:ascii="Verdana" w:hAnsi="Verdana"/>
        </w:rPr>
        <w:t>ations with the grantees, we started with these LAR assumptions and then offered them the opportunity to propose alter</w:t>
      </w:r>
      <w:r w:rsidR="009A0E12">
        <w:rPr>
          <w:rFonts w:ascii="Verdana" w:hAnsi="Verdana"/>
        </w:rPr>
        <w:t>ing</w:t>
      </w:r>
      <w:r>
        <w:rPr>
          <w:rFonts w:ascii="Verdana" w:hAnsi="Verdana"/>
        </w:rPr>
        <w:t xml:space="preserve"> the ratio of </w:t>
      </w:r>
      <w:r w:rsidR="00E73737">
        <w:rPr>
          <w:rFonts w:ascii="Verdana" w:hAnsi="Verdana"/>
        </w:rPr>
        <w:t>the Tier I, II, and III targets to suit their local needs and capacity</w:t>
      </w:r>
      <w:r w:rsidR="008E5719">
        <w:rPr>
          <w:rFonts w:ascii="Verdana" w:hAnsi="Verdana"/>
        </w:rPr>
        <w:t>.</w:t>
      </w:r>
    </w:p>
    <w:p w14:paraId="61950C3D" w14:textId="687CD777" w:rsidR="00C00D27" w:rsidRDefault="00273BDB" w:rsidP="00C00D27">
      <w:pPr>
        <w:ind w:left="720"/>
        <w:rPr>
          <w:rFonts w:ascii="Verdana" w:hAnsi="Verdana"/>
        </w:rPr>
      </w:pPr>
      <w:r w:rsidRPr="00BB0B28">
        <w:rPr>
          <w:rFonts w:ascii="Verdana" w:hAnsi="Verdana"/>
        </w:rPr>
        <w:t xml:space="preserve">All but </w:t>
      </w:r>
      <w:r w:rsidR="00FF19F0">
        <w:rPr>
          <w:rFonts w:ascii="Verdana" w:hAnsi="Verdana"/>
        </w:rPr>
        <w:t>seven</w:t>
      </w:r>
      <w:r w:rsidRPr="00BB0B28">
        <w:rPr>
          <w:rFonts w:ascii="Verdana" w:hAnsi="Verdana"/>
        </w:rPr>
        <w:t xml:space="preserve"> grantees opted to take advantage of this flexibility to propose their own casemixes/targets.  Of the </w:t>
      </w:r>
      <w:r w:rsidR="00FC6676">
        <w:rPr>
          <w:rFonts w:ascii="Verdana" w:hAnsi="Verdana"/>
        </w:rPr>
        <w:t>3</w:t>
      </w:r>
      <w:r w:rsidR="00FF19F0">
        <w:rPr>
          <w:rFonts w:ascii="Verdana" w:hAnsi="Verdana"/>
        </w:rPr>
        <w:t>0</w:t>
      </w:r>
      <w:r w:rsidRPr="00BB0B28">
        <w:rPr>
          <w:rFonts w:ascii="Verdana" w:hAnsi="Verdana"/>
        </w:rPr>
        <w:t xml:space="preserve"> that proposed their own targets, </w:t>
      </w:r>
      <w:r w:rsidR="00BB0B28" w:rsidRPr="00BB0B28">
        <w:rPr>
          <w:rFonts w:ascii="Verdana" w:hAnsi="Verdana"/>
        </w:rPr>
        <w:t>1</w:t>
      </w:r>
      <w:r w:rsidR="00FC6676">
        <w:rPr>
          <w:rFonts w:ascii="Verdana" w:hAnsi="Verdana"/>
        </w:rPr>
        <w:t>5</w:t>
      </w:r>
      <w:r w:rsidR="001A19D8" w:rsidRPr="00BB0B28">
        <w:rPr>
          <w:rFonts w:ascii="Verdana" w:hAnsi="Verdana"/>
        </w:rPr>
        <w:t xml:space="preserve"> </w:t>
      </w:r>
      <w:r w:rsidRPr="00BB0B28">
        <w:rPr>
          <w:rFonts w:ascii="Verdana" w:hAnsi="Verdana"/>
        </w:rPr>
        <w:t xml:space="preserve">submitted </w:t>
      </w:r>
      <w:r w:rsidR="00002169" w:rsidRPr="00BB0B28">
        <w:rPr>
          <w:rFonts w:ascii="Verdana" w:hAnsi="Verdana"/>
        </w:rPr>
        <w:t>proposals</w:t>
      </w:r>
      <w:r w:rsidRPr="00BB0B28">
        <w:rPr>
          <w:rFonts w:ascii="Verdana" w:hAnsi="Verdana"/>
        </w:rPr>
        <w:t xml:space="preserve"> </w:t>
      </w:r>
      <w:r w:rsidR="00002169" w:rsidRPr="00BB0B28">
        <w:rPr>
          <w:rFonts w:ascii="Verdana" w:hAnsi="Verdana"/>
        </w:rPr>
        <w:t>that were wit</w:t>
      </w:r>
      <w:r w:rsidR="001A19D8" w:rsidRPr="00BB0B28">
        <w:rPr>
          <w:rFonts w:ascii="Verdana" w:hAnsi="Verdana"/>
        </w:rPr>
        <w:t xml:space="preserve">hin the parameters we laid out and were easily supported by Workforce and Operational Insight staff.  </w:t>
      </w:r>
      <w:r w:rsidR="00B616A2">
        <w:rPr>
          <w:rFonts w:ascii="Verdana" w:hAnsi="Verdana"/>
        </w:rPr>
        <w:t xml:space="preserve">Workforce </w:t>
      </w:r>
      <w:r w:rsidR="00FF19F0">
        <w:rPr>
          <w:rFonts w:ascii="Verdana" w:hAnsi="Verdana"/>
        </w:rPr>
        <w:t>s</w:t>
      </w:r>
      <w:r w:rsidR="00B616A2">
        <w:rPr>
          <w:rFonts w:ascii="Verdana" w:hAnsi="Verdana"/>
        </w:rPr>
        <w:t xml:space="preserve">taff in the Adult Education and Literacy </w:t>
      </w:r>
      <w:r w:rsidR="00322008">
        <w:rPr>
          <w:rFonts w:ascii="Verdana" w:hAnsi="Verdana"/>
        </w:rPr>
        <w:t>Department reviewed the justifications on the remaining 1</w:t>
      </w:r>
      <w:r w:rsidR="00FF19F0">
        <w:rPr>
          <w:rFonts w:ascii="Verdana" w:hAnsi="Verdana"/>
        </w:rPr>
        <w:t>5</w:t>
      </w:r>
      <w:r w:rsidR="00322008">
        <w:rPr>
          <w:rFonts w:ascii="Verdana" w:hAnsi="Verdana"/>
        </w:rPr>
        <w:t xml:space="preserve"> proposals and found that </w:t>
      </w:r>
      <w:r w:rsidR="003F5495">
        <w:rPr>
          <w:rFonts w:ascii="Verdana" w:hAnsi="Verdana"/>
        </w:rPr>
        <w:t xml:space="preserve">the grantees had reasonable explanations for their proposals and </w:t>
      </w:r>
      <w:r w:rsidR="001A19D8" w:rsidRPr="00BB0B28">
        <w:rPr>
          <w:rFonts w:ascii="Verdana" w:hAnsi="Verdana"/>
        </w:rPr>
        <w:t xml:space="preserve">that </w:t>
      </w:r>
      <w:r w:rsidR="00BB0B28" w:rsidRPr="00BB0B28">
        <w:rPr>
          <w:rFonts w:ascii="Verdana" w:hAnsi="Verdana"/>
        </w:rPr>
        <w:t xml:space="preserve">all of </w:t>
      </w:r>
      <w:r w:rsidR="001A19D8" w:rsidRPr="00BB0B28">
        <w:rPr>
          <w:rFonts w:ascii="Verdana" w:hAnsi="Verdana"/>
        </w:rPr>
        <w:t>them shoul</w:t>
      </w:r>
      <w:r w:rsidR="008E5719">
        <w:rPr>
          <w:rFonts w:ascii="Verdana" w:hAnsi="Verdana"/>
        </w:rPr>
        <w:t>d be approved.</w:t>
      </w:r>
      <w:r w:rsidR="00C00D27">
        <w:rPr>
          <w:rFonts w:ascii="Verdana" w:hAnsi="Verdana"/>
        </w:rPr>
        <w:t xml:space="preserve">  </w:t>
      </w:r>
      <w:r w:rsidR="00DE6E3E">
        <w:rPr>
          <w:rFonts w:ascii="Verdana" w:hAnsi="Verdana"/>
        </w:rPr>
        <w:t>Si</w:t>
      </w:r>
      <w:r w:rsidR="00FD7DD4">
        <w:rPr>
          <w:rFonts w:ascii="Verdana" w:hAnsi="Verdana"/>
        </w:rPr>
        <w:t xml:space="preserve">nce some grantees were basically shifting targets </w:t>
      </w:r>
      <w:r w:rsidR="00525B35">
        <w:rPr>
          <w:rFonts w:ascii="Verdana" w:hAnsi="Verdana"/>
        </w:rPr>
        <w:t xml:space="preserve">among the </w:t>
      </w:r>
      <w:r w:rsidR="00AE0B5D">
        <w:rPr>
          <w:rFonts w:ascii="Verdana" w:hAnsi="Verdana"/>
        </w:rPr>
        <w:t>three</w:t>
      </w:r>
      <w:r w:rsidR="00525B35">
        <w:rPr>
          <w:rFonts w:ascii="Verdana" w:hAnsi="Verdana"/>
        </w:rPr>
        <w:t xml:space="preserve"> tiers, and some wanted to go up and others down, the net result is that the </w:t>
      </w:r>
      <w:r w:rsidR="006F3312">
        <w:rPr>
          <w:rFonts w:ascii="Verdana" w:hAnsi="Verdana"/>
        </w:rPr>
        <w:t xml:space="preserve">negotiated </w:t>
      </w:r>
      <w:r w:rsidR="00525B35">
        <w:rPr>
          <w:rFonts w:ascii="Verdana" w:hAnsi="Verdana"/>
        </w:rPr>
        <w:t xml:space="preserve">targets aggregate </w:t>
      </w:r>
      <w:r w:rsidR="00BB0B28" w:rsidRPr="00BB0B28">
        <w:rPr>
          <w:rFonts w:ascii="Verdana" w:hAnsi="Verdana"/>
        </w:rPr>
        <w:t>4,</w:t>
      </w:r>
      <w:r w:rsidR="006F3312">
        <w:rPr>
          <w:rFonts w:ascii="Verdana" w:hAnsi="Verdana"/>
        </w:rPr>
        <w:t>0</w:t>
      </w:r>
      <w:r w:rsidR="00E3693F">
        <w:rPr>
          <w:rFonts w:ascii="Verdana" w:hAnsi="Verdana"/>
        </w:rPr>
        <w:t>96</w:t>
      </w:r>
      <w:r w:rsidR="001A19D8" w:rsidRPr="00BB0B28">
        <w:rPr>
          <w:rFonts w:ascii="Verdana" w:hAnsi="Verdana"/>
        </w:rPr>
        <w:t xml:space="preserve"> </w:t>
      </w:r>
      <w:r w:rsidR="00002169" w:rsidRPr="00BB0B28">
        <w:rPr>
          <w:rFonts w:ascii="Verdana" w:hAnsi="Verdana"/>
        </w:rPr>
        <w:t>in Intensive</w:t>
      </w:r>
      <w:r w:rsidR="001A19D8" w:rsidRPr="00BB0B28">
        <w:rPr>
          <w:rFonts w:ascii="Verdana" w:hAnsi="Verdana"/>
        </w:rPr>
        <w:t xml:space="preserve"> AEL</w:t>
      </w:r>
      <w:r w:rsidR="00002169" w:rsidRPr="00BB0B28">
        <w:rPr>
          <w:rFonts w:ascii="Verdana" w:hAnsi="Verdana"/>
        </w:rPr>
        <w:t xml:space="preserve">, </w:t>
      </w:r>
      <w:r w:rsidR="00BB0B28" w:rsidRPr="00BB0B28">
        <w:rPr>
          <w:rFonts w:ascii="Verdana" w:hAnsi="Verdana"/>
        </w:rPr>
        <w:t>6,</w:t>
      </w:r>
      <w:r w:rsidR="00E3693F">
        <w:rPr>
          <w:rFonts w:ascii="Verdana" w:hAnsi="Verdana"/>
        </w:rPr>
        <w:t>537</w:t>
      </w:r>
      <w:r w:rsidR="00002169" w:rsidRPr="00BB0B28">
        <w:rPr>
          <w:rFonts w:ascii="Verdana" w:hAnsi="Verdana"/>
        </w:rPr>
        <w:t xml:space="preserve"> in IET (between EL Civics and regular AEL), and </w:t>
      </w:r>
      <w:r w:rsidR="003B403E">
        <w:rPr>
          <w:rFonts w:ascii="Verdana" w:hAnsi="Verdana"/>
        </w:rPr>
        <w:t>70,</w:t>
      </w:r>
      <w:r w:rsidR="00380FD8">
        <w:rPr>
          <w:rFonts w:ascii="Verdana" w:hAnsi="Verdana"/>
        </w:rPr>
        <w:t>285</w:t>
      </w:r>
      <w:r w:rsidR="00002169" w:rsidRPr="00BB0B28">
        <w:rPr>
          <w:rFonts w:ascii="Verdana" w:hAnsi="Verdana"/>
        </w:rPr>
        <w:t xml:space="preserve"> overall </w:t>
      </w:r>
      <w:r w:rsidR="009A0E12">
        <w:rPr>
          <w:rFonts w:ascii="Verdana" w:hAnsi="Verdana"/>
        </w:rPr>
        <w:t xml:space="preserve">is </w:t>
      </w:r>
      <w:r w:rsidR="00002169" w:rsidRPr="00BB0B28">
        <w:rPr>
          <w:rFonts w:ascii="Verdana" w:hAnsi="Verdana"/>
        </w:rPr>
        <w:t xml:space="preserve">within </w:t>
      </w:r>
      <w:r w:rsidR="009D4D48">
        <w:rPr>
          <w:rFonts w:ascii="Verdana" w:hAnsi="Verdana"/>
        </w:rPr>
        <w:t>.</w:t>
      </w:r>
      <w:r w:rsidR="00605F3B">
        <w:rPr>
          <w:rFonts w:ascii="Verdana" w:hAnsi="Verdana"/>
        </w:rPr>
        <w:t>32</w:t>
      </w:r>
      <w:r w:rsidR="009D4D48">
        <w:rPr>
          <w:rFonts w:ascii="Verdana" w:hAnsi="Verdana"/>
        </w:rPr>
        <w:t xml:space="preserve">% of </w:t>
      </w:r>
      <w:r w:rsidR="00002169" w:rsidRPr="00BB0B28">
        <w:rPr>
          <w:rFonts w:ascii="Verdana" w:hAnsi="Verdana"/>
        </w:rPr>
        <w:t xml:space="preserve">our </w:t>
      </w:r>
      <w:r w:rsidR="003B403E">
        <w:rPr>
          <w:rFonts w:ascii="Verdana" w:hAnsi="Verdana"/>
        </w:rPr>
        <w:t>LAR projection</w:t>
      </w:r>
      <w:r w:rsidR="00002169" w:rsidRPr="00BB0B28">
        <w:rPr>
          <w:rFonts w:ascii="Verdana" w:hAnsi="Verdana"/>
        </w:rPr>
        <w:t>.</w:t>
      </w:r>
    </w:p>
    <w:p w14:paraId="7B249DCF" w14:textId="5ED25965" w:rsidR="00A90C18" w:rsidRDefault="006964C7" w:rsidP="00C00D27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Under normal circumstances, when grantees fail to serve the expected number of </w:t>
      </w:r>
      <w:r w:rsidR="002B1461">
        <w:rPr>
          <w:rFonts w:ascii="Verdana" w:hAnsi="Verdana"/>
        </w:rPr>
        <w:t>Participants (or a reasonable number when accounting for changes in tier mix compared to what was planned)</w:t>
      </w:r>
      <w:r w:rsidR="00F53017">
        <w:rPr>
          <w:rFonts w:ascii="Verdana" w:hAnsi="Verdana"/>
        </w:rPr>
        <w:t xml:space="preserve">, TWC would impose what are referred to as “carry forward” targets.  However this year, staff </w:t>
      </w:r>
      <w:r w:rsidR="00E840D1">
        <w:rPr>
          <w:rFonts w:ascii="Verdana" w:hAnsi="Verdana"/>
        </w:rPr>
        <w:t>is r</w:t>
      </w:r>
      <w:r w:rsidR="00F53017">
        <w:rPr>
          <w:rFonts w:ascii="Verdana" w:hAnsi="Verdana"/>
        </w:rPr>
        <w:t xml:space="preserve">ecommending to not do that </w:t>
      </w:r>
      <w:r w:rsidR="00D65C0F">
        <w:rPr>
          <w:rFonts w:ascii="Verdana" w:hAnsi="Verdana"/>
        </w:rPr>
        <w:t>a</w:t>
      </w:r>
      <w:r w:rsidR="00F53017">
        <w:rPr>
          <w:rFonts w:ascii="Verdana" w:hAnsi="Verdana"/>
        </w:rPr>
        <w:t xml:space="preserve">s </w:t>
      </w:r>
      <w:r w:rsidR="00B45CA1">
        <w:rPr>
          <w:rFonts w:ascii="Verdana" w:hAnsi="Verdana"/>
        </w:rPr>
        <w:t xml:space="preserve">COVID-19 resulted in grantees having to redesign their programs from nearly entirely “in person” classes to nearly entirely </w:t>
      </w:r>
      <w:r w:rsidR="0079055F">
        <w:rPr>
          <w:rFonts w:ascii="Verdana" w:hAnsi="Verdana"/>
        </w:rPr>
        <w:t>“distance learning” at the end of the year and they had additional expenses associated with those efforts</w:t>
      </w:r>
      <w:r w:rsidR="00C15C1F">
        <w:rPr>
          <w:rFonts w:ascii="Verdana" w:hAnsi="Verdana"/>
        </w:rPr>
        <w:t>.</w:t>
      </w:r>
    </w:p>
    <w:p w14:paraId="7CB13B3A" w14:textId="2CFCAF8A" w:rsidR="006964C7" w:rsidRDefault="00C15C1F" w:rsidP="00C00D27">
      <w:pPr>
        <w:ind w:left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Distance learning isn’t as simple as </w:t>
      </w:r>
      <w:r w:rsidR="005E0FD8">
        <w:rPr>
          <w:rFonts w:ascii="Verdana" w:hAnsi="Verdana"/>
        </w:rPr>
        <w:t xml:space="preserve">teaching like </w:t>
      </w:r>
      <w:r>
        <w:rPr>
          <w:rFonts w:ascii="Verdana" w:hAnsi="Verdana"/>
        </w:rPr>
        <w:t>you do in person but into a camera</w:t>
      </w:r>
      <w:r w:rsidR="005E0FD8">
        <w:rPr>
          <w:rFonts w:ascii="Verdana" w:hAnsi="Verdana"/>
        </w:rPr>
        <w:t xml:space="preserve">.  </w:t>
      </w:r>
      <w:r w:rsidR="00C45ED5">
        <w:rPr>
          <w:rFonts w:ascii="Verdana" w:hAnsi="Verdana"/>
        </w:rPr>
        <w:t>This was an adjustment both for the grantees</w:t>
      </w:r>
      <w:r w:rsidR="00735BCB">
        <w:rPr>
          <w:rFonts w:ascii="Verdana" w:hAnsi="Verdana"/>
        </w:rPr>
        <w:t xml:space="preserve"> (and their subgrantees)</w:t>
      </w:r>
      <w:r w:rsidR="00C45ED5">
        <w:rPr>
          <w:rFonts w:ascii="Verdana" w:hAnsi="Verdana"/>
        </w:rPr>
        <w:t xml:space="preserve"> and </w:t>
      </w:r>
      <w:r w:rsidR="00735BCB">
        <w:rPr>
          <w:rFonts w:ascii="Verdana" w:hAnsi="Verdana"/>
        </w:rPr>
        <w:t xml:space="preserve">for </w:t>
      </w:r>
      <w:r w:rsidR="00C45ED5">
        <w:rPr>
          <w:rFonts w:ascii="Verdana" w:hAnsi="Verdana"/>
        </w:rPr>
        <w:t>the students</w:t>
      </w:r>
      <w:r>
        <w:rPr>
          <w:rFonts w:ascii="Verdana" w:hAnsi="Verdana"/>
        </w:rPr>
        <w:t xml:space="preserve">. </w:t>
      </w:r>
      <w:r w:rsidR="002A31D5">
        <w:rPr>
          <w:rFonts w:ascii="Verdana" w:hAnsi="Verdana"/>
        </w:rPr>
        <w:t xml:space="preserve"> Not all students ha</w:t>
      </w:r>
      <w:r w:rsidR="00522589">
        <w:rPr>
          <w:rFonts w:ascii="Verdana" w:hAnsi="Verdana"/>
        </w:rPr>
        <w:t>d</w:t>
      </w:r>
      <w:r w:rsidR="002A31D5">
        <w:rPr>
          <w:rFonts w:ascii="Verdana" w:hAnsi="Verdana"/>
        </w:rPr>
        <w:t xml:space="preserve"> the technology to </w:t>
      </w:r>
      <w:r w:rsidR="00D57E6F">
        <w:rPr>
          <w:rFonts w:ascii="Verdana" w:hAnsi="Verdana"/>
        </w:rPr>
        <w:t xml:space="preserve">participate (whether computer, broadband, or both). </w:t>
      </w:r>
      <w:r w:rsidR="009B3BE8">
        <w:rPr>
          <w:rFonts w:ascii="Verdana" w:hAnsi="Verdana"/>
        </w:rPr>
        <w:t xml:space="preserve"> </w:t>
      </w:r>
      <w:r w:rsidR="00455EFA">
        <w:rPr>
          <w:rFonts w:ascii="Verdana" w:hAnsi="Verdana"/>
        </w:rPr>
        <w:t>In addition, m</w:t>
      </w:r>
      <w:r w:rsidR="00C10157">
        <w:rPr>
          <w:rFonts w:ascii="Verdana" w:hAnsi="Verdana"/>
        </w:rPr>
        <w:t xml:space="preserve">any providers had to purchase technology to loan students </w:t>
      </w:r>
      <w:r w:rsidR="00A90C18">
        <w:rPr>
          <w:rFonts w:ascii="Verdana" w:hAnsi="Verdana"/>
        </w:rPr>
        <w:t>to allow them to participate</w:t>
      </w:r>
      <w:r w:rsidR="00735BCB">
        <w:rPr>
          <w:rFonts w:ascii="Verdana" w:hAnsi="Verdana"/>
        </w:rPr>
        <w:t>.</w:t>
      </w:r>
    </w:p>
    <w:p w14:paraId="455B5E84" w14:textId="3FADFFDB" w:rsidR="00735BCB" w:rsidRPr="00D65C0F" w:rsidRDefault="00735BCB" w:rsidP="00C00D27">
      <w:pPr>
        <w:ind w:left="720"/>
        <w:rPr>
          <w:rFonts w:ascii="Verdana" w:hAnsi="Verdana"/>
          <w:u w:val="single"/>
        </w:rPr>
      </w:pPr>
      <w:r w:rsidRPr="00D65C0F">
        <w:rPr>
          <w:rFonts w:ascii="Verdana" w:hAnsi="Verdana"/>
          <w:u w:val="single"/>
        </w:rPr>
        <w:t xml:space="preserve">In recognition of these circumstances, </w:t>
      </w:r>
      <w:r w:rsidR="006D1882" w:rsidRPr="00D65C0F">
        <w:rPr>
          <w:rFonts w:ascii="Verdana" w:hAnsi="Verdana"/>
          <w:u w:val="single"/>
        </w:rPr>
        <w:t>staff recommend</w:t>
      </w:r>
      <w:r w:rsidR="00B7605C">
        <w:rPr>
          <w:rFonts w:ascii="Verdana" w:hAnsi="Verdana"/>
          <w:u w:val="single"/>
        </w:rPr>
        <w:t>s</w:t>
      </w:r>
      <w:r w:rsidR="006D1882" w:rsidRPr="00D65C0F">
        <w:rPr>
          <w:rFonts w:ascii="Verdana" w:hAnsi="Verdana"/>
          <w:u w:val="single"/>
        </w:rPr>
        <w:t xml:space="preserve"> suspending Carryforward Targets from PY19 to PY20 for this one year.</w:t>
      </w:r>
    </w:p>
    <w:p w14:paraId="5F2EAE72" w14:textId="1FCEAAA2" w:rsidR="00D65F52" w:rsidRDefault="00D93060" w:rsidP="00F7267F">
      <w:pPr>
        <w:pStyle w:val="ListParagraph"/>
        <w:contextualSpacing w:val="0"/>
        <w:rPr>
          <w:rFonts w:ascii="Verdana" w:hAnsi="Verdana"/>
          <w:u w:val="single"/>
        </w:rPr>
      </w:pPr>
      <w:r w:rsidRPr="00E32EDD">
        <w:rPr>
          <w:rFonts w:ascii="Verdana" w:hAnsi="Verdana"/>
          <w:u w:val="single"/>
        </w:rPr>
        <w:t xml:space="preserve">The </w:t>
      </w:r>
      <w:r w:rsidR="00160815" w:rsidRPr="00E32EDD">
        <w:rPr>
          <w:rFonts w:ascii="Verdana" w:hAnsi="Verdana"/>
          <w:u w:val="single"/>
        </w:rPr>
        <w:t>negotiated PY</w:t>
      </w:r>
      <w:r w:rsidR="005C1B0A">
        <w:rPr>
          <w:rFonts w:ascii="Verdana" w:hAnsi="Verdana"/>
          <w:u w:val="single"/>
        </w:rPr>
        <w:t>20</w:t>
      </w:r>
      <w:r w:rsidR="00160815" w:rsidRPr="00E32EDD">
        <w:rPr>
          <w:rFonts w:ascii="Verdana" w:hAnsi="Verdana"/>
          <w:u w:val="single"/>
        </w:rPr>
        <w:t xml:space="preserve"> </w:t>
      </w:r>
      <w:r w:rsidRPr="00E32EDD">
        <w:rPr>
          <w:rFonts w:ascii="Verdana" w:hAnsi="Verdana"/>
          <w:u w:val="single"/>
        </w:rPr>
        <w:t xml:space="preserve">Participant Served Targets are shown on page </w:t>
      </w:r>
      <w:r w:rsidR="00312D3B">
        <w:rPr>
          <w:rFonts w:ascii="Verdana" w:hAnsi="Verdana"/>
          <w:u w:val="single"/>
        </w:rPr>
        <w:t>4</w:t>
      </w:r>
      <w:r w:rsidRPr="00E32EDD">
        <w:rPr>
          <w:rFonts w:ascii="Verdana" w:hAnsi="Verdana"/>
          <w:u w:val="single"/>
        </w:rPr>
        <w:t>.</w:t>
      </w:r>
    </w:p>
    <w:p w14:paraId="35632FF4" w14:textId="439792AF" w:rsidR="001A19D8" w:rsidRDefault="00E30A5D" w:rsidP="00F7267F">
      <w:pPr>
        <w:pStyle w:val="ListParagraph"/>
        <w:numPr>
          <w:ilvl w:val="0"/>
          <w:numId w:val="4"/>
        </w:numPr>
        <w:contextualSpacing w:val="0"/>
        <w:rPr>
          <w:rFonts w:ascii="Verdana" w:hAnsi="Verdana"/>
        </w:rPr>
      </w:pPr>
      <w:r w:rsidRPr="002C7E9C">
        <w:rPr>
          <w:rFonts w:ascii="Verdana" w:hAnsi="Verdana"/>
          <w:b/>
        </w:rPr>
        <w:t>Measurable Skill Gains</w:t>
      </w:r>
      <w:r w:rsidRPr="002C7E9C">
        <w:rPr>
          <w:rFonts w:ascii="Verdana" w:hAnsi="Verdana"/>
        </w:rPr>
        <w:t xml:space="preserve"> – </w:t>
      </w:r>
      <w:r w:rsidR="00160815">
        <w:rPr>
          <w:rFonts w:ascii="Verdana" w:hAnsi="Verdana"/>
        </w:rPr>
        <w:t xml:space="preserve">Earlier this year, </w:t>
      </w:r>
      <w:r w:rsidRPr="002C7E9C">
        <w:rPr>
          <w:rFonts w:ascii="Verdana" w:hAnsi="Verdana"/>
        </w:rPr>
        <w:t>TWC negotiated both PY</w:t>
      </w:r>
      <w:r w:rsidR="00160815">
        <w:rPr>
          <w:rFonts w:ascii="Verdana" w:hAnsi="Verdana"/>
        </w:rPr>
        <w:t>20</w:t>
      </w:r>
      <w:r w:rsidRPr="002C7E9C">
        <w:rPr>
          <w:rFonts w:ascii="Verdana" w:hAnsi="Verdana"/>
        </w:rPr>
        <w:t xml:space="preserve"> and PY</w:t>
      </w:r>
      <w:r w:rsidR="00160815">
        <w:rPr>
          <w:rFonts w:ascii="Verdana" w:hAnsi="Verdana"/>
        </w:rPr>
        <w:t>2</w:t>
      </w:r>
      <w:r w:rsidRPr="002C7E9C">
        <w:rPr>
          <w:rFonts w:ascii="Verdana" w:hAnsi="Verdana"/>
        </w:rPr>
        <w:t xml:space="preserve">1 targets with the </w:t>
      </w:r>
      <w:r w:rsidR="00160815">
        <w:rPr>
          <w:rFonts w:ascii="Verdana" w:hAnsi="Verdana"/>
        </w:rPr>
        <w:t xml:space="preserve">ED </w:t>
      </w:r>
      <w:r w:rsidR="001F7266" w:rsidRPr="002C7E9C">
        <w:rPr>
          <w:rFonts w:ascii="Verdana" w:hAnsi="Verdana"/>
        </w:rPr>
        <w:t>Office of Career, Technical, and Adult Education (OCTAE)</w:t>
      </w:r>
      <w:r w:rsidR="00894251" w:rsidRPr="002C7E9C">
        <w:rPr>
          <w:rFonts w:ascii="Verdana" w:hAnsi="Verdana"/>
        </w:rPr>
        <w:t xml:space="preserve"> </w:t>
      </w:r>
      <w:r w:rsidRPr="002C7E9C">
        <w:rPr>
          <w:rFonts w:ascii="Verdana" w:hAnsi="Verdana"/>
        </w:rPr>
        <w:t>by setting separate targets for each of the 1</w:t>
      </w:r>
      <w:r w:rsidR="00002169">
        <w:rPr>
          <w:rFonts w:ascii="Verdana" w:hAnsi="Verdana"/>
        </w:rPr>
        <w:t>2</w:t>
      </w:r>
      <w:r w:rsidRPr="002C7E9C">
        <w:rPr>
          <w:rFonts w:ascii="Verdana" w:hAnsi="Verdana"/>
        </w:rPr>
        <w:t xml:space="preserve"> different Educational Functioning Levels</w:t>
      </w:r>
      <w:r w:rsidR="009A0E12">
        <w:rPr>
          <w:rFonts w:ascii="Verdana" w:hAnsi="Verdana"/>
        </w:rPr>
        <w:t xml:space="preserve"> (EFL)</w:t>
      </w:r>
      <w:r w:rsidRPr="002C7E9C">
        <w:rPr>
          <w:rFonts w:ascii="Verdana" w:hAnsi="Verdana"/>
        </w:rPr>
        <w:t xml:space="preserve"> that AEL uses for reportin</w:t>
      </w:r>
      <w:r w:rsidR="004852EF">
        <w:rPr>
          <w:rFonts w:ascii="Verdana" w:hAnsi="Verdana"/>
        </w:rPr>
        <w:t>g</w:t>
      </w:r>
      <w:r w:rsidR="006726FD">
        <w:rPr>
          <w:rFonts w:ascii="Verdana" w:hAnsi="Verdana"/>
        </w:rPr>
        <w:t>:  s</w:t>
      </w:r>
      <w:r w:rsidR="004852EF">
        <w:rPr>
          <w:rFonts w:ascii="Verdana" w:hAnsi="Verdana"/>
        </w:rPr>
        <w:t>ix relate to Adult Basic Education (ABE) and six to English as a Second Language (ESL).</w:t>
      </w:r>
    </w:p>
    <w:p w14:paraId="212E1ABD" w14:textId="3AB2CAA8" w:rsidR="00AC3529" w:rsidRDefault="00AC3529" w:rsidP="001A19D8">
      <w:pPr>
        <w:pStyle w:val="ListParagraph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While TWC and the Grantees are each held to a single Measurable Skill Gains </w:t>
      </w:r>
      <w:r w:rsidR="000612C9">
        <w:rPr>
          <w:rFonts w:ascii="Verdana" w:hAnsi="Verdana"/>
        </w:rPr>
        <w:t>target,</w:t>
      </w:r>
      <w:r w:rsidR="00983C94">
        <w:rPr>
          <w:rFonts w:ascii="Verdana" w:hAnsi="Verdana"/>
        </w:rPr>
        <w:t xml:space="preserve"> </w:t>
      </w:r>
      <w:r w:rsidR="00E35C23">
        <w:rPr>
          <w:rFonts w:ascii="Verdana" w:hAnsi="Verdana"/>
        </w:rPr>
        <w:t>the reality is that the final target is based on the casemix</w:t>
      </w:r>
      <w:r w:rsidR="000612C9">
        <w:rPr>
          <w:rFonts w:ascii="Verdana" w:hAnsi="Verdana"/>
        </w:rPr>
        <w:t xml:space="preserve"> across the EFL cohorts</w:t>
      </w:r>
      <w:r w:rsidR="00E35C23">
        <w:rPr>
          <w:rFonts w:ascii="Verdana" w:hAnsi="Verdana"/>
        </w:rPr>
        <w:t xml:space="preserve">.  Meaning, we </w:t>
      </w:r>
      <w:r w:rsidR="00F056AC">
        <w:rPr>
          <w:rFonts w:ascii="Verdana" w:hAnsi="Verdana"/>
        </w:rPr>
        <w:t>use</w:t>
      </w:r>
      <w:r w:rsidR="00E35C23">
        <w:rPr>
          <w:rFonts w:ascii="Verdana" w:hAnsi="Verdana"/>
        </w:rPr>
        <w:t xml:space="preserve"> a weighted average that accounts </w:t>
      </w:r>
      <w:r w:rsidR="00B7605C">
        <w:rPr>
          <w:rFonts w:ascii="Verdana" w:hAnsi="Verdana"/>
        </w:rPr>
        <w:t xml:space="preserve">for </w:t>
      </w:r>
      <w:r w:rsidR="00E35C23">
        <w:rPr>
          <w:rFonts w:ascii="Verdana" w:hAnsi="Verdana"/>
        </w:rPr>
        <w:t xml:space="preserve">the actual </w:t>
      </w:r>
      <w:r w:rsidR="009D7C11">
        <w:rPr>
          <w:rFonts w:ascii="Verdana" w:hAnsi="Verdana"/>
        </w:rPr>
        <w:t>proportion of the students in each of the 12 EFLs</w:t>
      </w:r>
      <w:r w:rsidR="00265536">
        <w:rPr>
          <w:rFonts w:ascii="Verdana" w:hAnsi="Verdana"/>
        </w:rPr>
        <w:t xml:space="preserve">. </w:t>
      </w:r>
      <w:r w:rsidR="00F056AC">
        <w:rPr>
          <w:rFonts w:ascii="Verdana" w:hAnsi="Verdana"/>
        </w:rPr>
        <w:t xml:space="preserve"> </w:t>
      </w:r>
      <w:r w:rsidR="001847FD">
        <w:rPr>
          <w:rFonts w:ascii="Verdana" w:hAnsi="Verdana"/>
        </w:rPr>
        <w:t>T</w:t>
      </w:r>
      <w:r w:rsidR="00B44E0A">
        <w:rPr>
          <w:rFonts w:ascii="Verdana" w:hAnsi="Verdana"/>
        </w:rPr>
        <w:t xml:space="preserve">here are 12 subtargets that </w:t>
      </w:r>
      <w:proofErr w:type="gramStart"/>
      <w:r w:rsidR="00390156">
        <w:rPr>
          <w:rFonts w:ascii="Verdana" w:hAnsi="Verdana"/>
        </w:rPr>
        <w:t>blend together</w:t>
      </w:r>
      <w:proofErr w:type="gramEnd"/>
      <w:r w:rsidR="00390156">
        <w:rPr>
          <w:rFonts w:ascii="Verdana" w:hAnsi="Verdana"/>
        </w:rPr>
        <w:t xml:space="preserve"> based on casemix to set the final target for each grantee.  If a grantee meets all 12 individually, they meet their final target. If they are low on one of the 12 and high on one of the other 11, </w:t>
      </w:r>
      <w:r w:rsidR="009D07F4">
        <w:rPr>
          <w:rFonts w:ascii="Verdana" w:hAnsi="Verdana"/>
        </w:rPr>
        <w:t xml:space="preserve">it is possible that the grantee will </w:t>
      </w:r>
      <w:r w:rsidR="00BF4A71">
        <w:rPr>
          <w:rFonts w:ascii="Verdana" w:hAnsi="Verdana"/>
        </w:rPr>
        <w:t>meet performance expectations</w:t>
      </w:r>
      <w:r w:rsidR="009D07F4">
        <w:rPr>
          <w:rFonts w:ascii="Verdana" w:hAnsi="Verdana"/>
        </w:rPr>
        <w:t xml:space="preserve"> (</w:t>
      </w:r>
      <w:r w:rsidR="001847FD">
        <w:rPr>
          <w:rFonts w:ascii="Verdana" w:hAnsi="Verdana"/>
        </w:rPr>
        <w:t>if</w:t>
      </w:r>
      <w:r w:rsidR="009D07F4">
        <w:rPr>
          <w:rFonts w:ascii="Verdana" w:hAnsi="Verdana"/>
        </w:rPr>
        <w:t xml:space="preserve"> the </w:t>
      </w:r>
      <w:r w:rsidR="001847FD">
        <w:rPr>
          <w:rFonts w:ascii="Verdana" w:hAnsi="Verdana"/>
        </w:rPr>
        <w:t>performance difference and casemix proportion differences balance out).</w:t>
      </w:r>
    </w:p>
    <w:p w14:paraId="7449DD2C" w14:textId="636C913E" w:rsidR="00622A73" w:rsidRDefault="00835B33" w:rsidP="0017484B">
      <w:pPr>
        <w:pStyle w:val="ListParagraph"/>
        <w:contextualSpacing w:val="0"/>
        <w:rPr>
          <w:rFonts w:ascii="Verdana" w:hAnsi="Verdana"/>
        </w:rPr>
      </w:pPr>
      <w:r>
        <w:rPr>
          <w:rFonts w:ascii="Verdana" w:hAnsi="Verdana"/>
        </w:rPr>
        <w:t xml:space="preserve">In past years, TWC has used a double blended target system where we set </w:t>
      </w:r>
      <w:r w:rsidR="005F53C0">
        <w:rPr>
          <w:rFonts w:ascii="Verdana" w:hAnsi="Verdana"/>
        </w:rPr>
        <w:t>two</w:t>
      </w:r>
      <w:r>
        <w:rPr>
          <w:rFonts w:ascii="Verdana" w:hAnsi="Verdana"/>
        </w:rPr>
        <w:t xml:space="preserve"> subtargets for </w:t>
      </w:r>
      <w:r w:rsidR="005F53C0">
        <w:rPr>
          <w:rFonts w:ascii="Verdana" w:hAnsi="Verdana"/>
        </w:rPr>
        <w:t xml:space="preserve">each of </w:t>
      </w:r>
      <w:r>
        <w:rPr>
          <w:rFonts w:ascii="Verdana" w:hAnsi="Verdana"/>
        </w:rPr>
        <w:t>the 12</w:t>
      </w:r>
      <w:r w:rsidR="004852EF">
        <w:rPr>
          <w:rFonts w:ascii="Verdana" w:hAnsi="Verdana"/>
        </w:rPr>
        <w:t xml:space="preserve"> EFLs</w:t>
      </w:r>
      <w:r w:rsidR="0017484B">
        <w:rPr>
          <w:rFonts w:ascii="Verdana" w:hAnsi="Verdana"/>
        </w:rPr>
        <w:t xml:space="preserve">.  We would </w:t>
      </w:r>
      <w:r w:rsidR="009C756E">
        <w:rPr>
          <w:rFonts w:ascii="Verdana" w:hAnsi="Verdana"/>
        </w:rPr>
        <w:t>set higher targets for the early part of the year (when there was more time to achieve a gain) and lower targets for the last quarter</w:t>
      </w:r>
      <w:r w:rsidR="00F3752A">
        <w:rPr>
          <w:rFonts w:ascii="Verdana" w:hAnsi="Verdana"/>
        </w:rPr>
        <w:t xml:space="preserve"> of the year.  Our original motivation behind this approach was to try to account for the reduced </w:t>
      </w:r>
      <w:r w:rsidR="00622A73">
        <w:rPr>
          <w:rFonts w:ascii="Verdana" w:hAnsi="Verdana"/>
        </w:rPr>
        <w:t>likelihood of a gain for people enrolling later in the year but the system seemed to cause confusion</w:t>
      </w:r>
      <w:r w:rsidR="009C756E">
        <w:rPr>
          <w:rFonts w:ascii="Verdana" w:hAnsi="Verdana"/>
        </w:rPr>
        <w:t xml:space="preserve">.  </w:t>
      </w:r>
      <w:r w:rsidR="0017484B" w:rsidRPr="00435ABA">
        <w:rPr>
          <w:rFonts w:ascii="Verdana" w:hAnsi="Verdana"/>
          <w:u w:val="single"/>
        </w:rPr>
        <w:t>As such, staff recommend</w:t>
      </w:r>
      <w:r w:rsidR="00B7605C">
        <w:rPr>
          <w:rFonts w:ascii="Verdana" w:hAnsi="Verdana"/>
          <w:u w:val="single"/>
        </w:rPr>
        <w:t>s</w:t>
      </w:r>
      <w:r w:rsidR="0017484B" w:rsidRPr="00435ABA">
        <w:rPr>
          <w:rFonts w:ascii="Verdana" w:hAnsi="Verdana"/>
          <w:u w:val="single"/>
        </w:rPr>
        <w:t xml:space="preserve"> simplifying this system and simply using </w:t>
      </w:r>
      <w:r w:rsidR="00AB3563" w:rsidRPr="00435ABA">
        <w:rPr>
          <w:rFonts w:ascii="Verdana" w:hAnsi="Verdana"/>
          <w:u w:val="single"/>
        </w:rPr>
        <w:t>the 12 subtargets negotiated with OCTAE for TWC’s grantees</w:t>
      </w:r>
      <w:r w:rsidR="00E477D1" w:rsidRPr="00435ABA">
        <w:rPr>
          <w:rFonts w:ascii="Verdana" w:hAnsi="Verdana"/>
          <w:u w:val="single"/>
        </w:rPr>
        <w:t xml:space="preserve"> as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1710"/>
      </w:tblGrid>
      <w:tr w:rsidR="00AF6DB0" w:rsidRPr="002C1B65" w14:paraId="406872D4" w14:textId="77777777" w:rsidTr="00E477D1">
        <w:tc>
          <w:tcPr>
            <w:tcW w:w="1525" w:type="dxa"/>
          </w:tcPr>
          <w:p w14:paraId="28F2BE0D" w14:textId="77777777" w:rsidR="00AF6DB0" w:rsidRPr="00E477D1" w:rsidRDefault="00AF6DB0" w:rsidP="00291D22">
            <w:pPr>
              <w:rPr>
                <w:rFonts w:cs="Calibri"/>
                <w:b/>
                <w:bCs/>
              </w:rPr>
            </w:pPr>
            <w:r w:rsidRPr="00E477D1">
              <w:rPr>
                <w:rFonts w:cs="Calibri"/>
                <w:b/>
                <w:bCs/>
              </w:rPr>
              <w:t>EFL Level</w:t>
            </w:r>
          </w:p>
        </w:tc>
        <w:tc>
          <w:tcPr>
            <w:tcW w:w="1710" w:type="dxa"/>
          </w:tcPr>
          <w:p w14:paraId="0371D0EB" w14:textId="77777777" w:rsidR="00AF6DB0" w:rsidRPr="00E477D1" w:rsidRDefault="00AF6DB0" w:rsidP="00291D22">
            <w:pPr>
              <w:rPr>
                <w:rFonts w:cs="Calibri"/>
                <w:b/>
                <w:bCs/>
              </w:rPr>
            </w:pPr>
            <w:proofErr w:type="spellStart"/>
            <w:r w:rsidRPr="00E477D1">
              <w:rPr>
                <w:rFonts w:cs="Calibri"/>
                <w:b/>
                <w:bCs/>
              </w:rPr>
              <w:t>SubTarget</w:t>
            </w:r>
            <w:proofErr w:type="spellEnd"/>
          </w:p>
        </w:tc>
      </w:tr>
      <w:tr w:rsidR="00AF6DB0" w:rsidRPr="002C1B65" w14:paraId="4426A425" w14:textId="77777777" w:rsidTr="00E477D1">
        <w:tc>
          <w:tcPr>
            <w:tcW w:w="1525" w:type="dxa"/>
          </w:tcPr>
          <w:p w14:paraId="020A1659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ABE1</w:t>
            </w:r>
          </w:p>
        </w:tc>
        <w:tc>
          <w:tcPr>
            <w:tcW w:w="1710" w:type="dxa"/>
          </w:tcPr>
          <w:p w14:paraId="5807F3F3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39.0%</w:t>
            </w:r>
          </w:p>
        </w:tc>
      </w:tr>
      <w:tr w:rsidR="00AF6DB0" w:rsidRPr="002C1B65" w14:paraId="65590357" w14:textId="77777777" w:rsidTr="00E477D1">
        <w:tc>
          <w:tcPr>
            <w:tcW w:w="1525" w:type="dxa"/>
          </w:tcPr>
          <w:p w14:paraId="1973FB62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ABE2</w:t>
            </w:r>
          </w:p>
        </w:tc>
        <w:tc>
          <w:tcPr>
            <w:tcW w:w="1710" w:type="dxa"/>
          </w:tcPr>
          <w:p w14:paraId="117F8D36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38.0%</w:t>
            </w:r>
          </w:p>
        </w:tc>
      </w:tr>
      <w:tr w:rsidR="00AF6DB0" w:rsidRPr="002C1B65" w14:paraId="3AE9EE0B" w14:textId="77777777" w:rsidTr="00E477D1">
        <w:tc>
          <w:tcPr>
            <w:tcW w:w="1525" w:type="dxa"/>
          </w:tcPr>
          <w:p w14:paraId="22E21FB0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ABE3</w:t>
            </w:r>
          </w:p>
        </w:tc>
        <w:tc>
          <w:tcPr>
            <w:tcW w:w="1710" w:type="dxa"/>
          </w:tcPr>
          <w:p w14:paraId="57E658CF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38.0%</w:t>
            </w:r>
          </w:p>
        </w:tc>
      </w:tr>
      <w:tr w:rsidR="00AF6DB0" w:rsidRPr="002C1B65" w14:paraId="56806D0B" w14:textId="77777777" w:rsidTr="00E477D1">
        <w:tc>
          <w:tcPr>
            <w:tcW w:w="1525" w:type="dxa"/>
          </w:tcPr>
          <w:p w14:paraId="3B5DE49A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ABE4</w:t>
            </w:r>
          </w:p>
        </w:tc>
        <w:tc>
          <w:tcPr>
            <w:tcW w:w="1710" w:type="dxa"/>
          </w:tcPr>
          <w:p w14:paraId="1C17C229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40.0%</w:t>
            </w:r>
          </w:p>
        </w:tc>
      </w:tr>
      <w:tr w:rsidR="00AF6DB0" w:rsidRPr="002C1B65" w14:paraId="357597A4" w14:textId="77777777" w:rsidTr="00E477D1">
        <w:tc>
          <w:tcPr>
            <w:tcW w:w="1525" w:type="dxa"/>
          </w:tcPr>
          <w:p w14:paraId="17E42A25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ABE5</w:t>
            </w:r>
          </w:p>
        </w:tc>
        <w:tc>
          <w:tcPr>
            <w:tcW w:w="1710" w:type="dxa"/>
          </w:tcPr>
          <w:p w14:paraId="27319D8B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43.0%</w:t>
            </w:r>
          </w:p>
        </w:tc>
      </w:tr>
      <w:tr w:rsidR="00AF6DB0" w:rsidRPr="002C1B65" w14:paraId="097E7AAA" w14:textId="77777777" w:rsidTr="00E477D1">
        <w:tc>
          <w:tcPr>
            <w:tcW w:w="1525" w:type="dxa"/>
          </w:tcPr>
          <w:p w14:paraId="7B47469E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ABE6</w:t>
            </w:r>
          </w:p>
        </w:tc>
        <w:tc>
          <w:tcPr>
            <w:tcW w:w="1710" w:type="dxa"/>
          </w:tcPr>
          <w:p w14:paraId="786D05A5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34.0%</w:t>
            </w:r>
          </w:p>
        </w:tc>
      </w:tr>
      <w:tr w:rsidR="00AF6DB0" w:rsidRPr="002C1B65" w14:paraId="668B589A" w14:textId="77777777" w:rsidTr="00E477D1">
        <w:tc>
          <w:tcPr>
            <w:tcW w:w="1525" w:type="dxa"/>
          </w:tcPr>
          <w:p w14:paraId="543478A4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ESL1</w:t>
            </w:r>
          </w:p>
        </w:tc>
        <w:tc>
          <w:tcPr>
            <w:tcW w:w="1710" w:type="dxa"/>
          </w:tcPr>
          <w:p w14:paraId="7C04FDD9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45.0%</w:t>
            </w:r>
          </w:p>
        </w:tc>
      </w:tr>
      <w:tr w:rsidR="00AF6DB0" w:rsidRPr="002C1B65" w14:paraId="214D39AD" w14:textId="77777777" w:rsidTr="00E477D1">
        <w:tc>
          <w:tcPr>
            <w:tcW w:w="1525" w:type="dxa"/>
          </w:tcPr>
          <w:p w14:paraId="0AD30602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ESL2</w:t>
            </w:r>
          </w:p>
        </w:tc>
        <w:tc>
          <w:tcPr>
            <w:tcW w:w="1710" w:type="dxa"/>
          </w:tcPr>
          <w:p w14:paraId="5C9A2A14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49.0%</w:t>
            </w:r>
          </w:p>
        </w:tc>
      </w:tr>
      <w:tr w:rsidR="00AF6DB0" w:rsidRPr="002C1B65" w14:paraId="16BCADDC" w14:textId="77777777" w:rsidTr="00E477D1">
        <w:tc>
          <w:tcPr>
            <w:tcW w:w="1525" w:type="dxa"/>
          </w:tcPr>
          <w:p w14:paraId="2AAA77B8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ESL3</w:t>
            </w:r>
          </w:p>
        </w:tc>
        <w:tc>
          <w:tcPr>
            <w:tcW w:w="1710" w:type="dxa"/>
          </w:tcPr>
          <w:p w14:paraId="68BF8776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53.0%</w:t>
            </w:r>
          </w:p>
        </w:tc>
      </w:tr>
      <w:tr w:rsidR="00AF6DB0" w:rsidRPr="002C1B65" w14:paraId="5479DCE6" w14:textId="77777777" w:rsidTr="00E477D1">
        <w:tc>
          <w:tcPr>
            <w:tcW w:w="1525" w:type="dxa"/>
          </w:tcPr>
          <w:p w14:paraId="5F668B4A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ESL4</w:t>
            </w:r>
          </w:p>
        </w:tc>
        <w:tc>
          <w:tcPr>
            <w:tcW w:w="1710" w:type="dxa"/>
          </w:tcPr>
          <w:p w14:paraId="7BFA82D3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54.0%</w:t>
            </w:r>
          </w:p>
        </w:tc>
      </w:tr>
      <w:tr w:rsidR="00AF6DB0" w:rsidRPr="002C1B65" w14:paraId="4ED9E4B8" w14:textId="77777777" w:rsidTr="00E477D1">
        <w:tc>
          <w:tcPr>
            <w:tcW w:w="1525" w:type="dxa"/>
          </w:tcPr>
          <w:p w14:paraId="621C5452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ESL5</w:t>
            </w:r>
          </w:p>
        </w:tc>
        <w:tc>
          <w:tcPr>
            <w:tcW w:w="1710" w:type="dxa"/>
          </w:tcPr>
          <w:p w14:paraId="73DBB5C9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42.0%</w:t>
            </w:r>
          </w:p>
        </w:tc>
      </w:tr>
      <w:tr w:rsidR="00AF6DB0" w:rsidRPr="002C1B65" w14:paraId="46BF5AC5" w14:textId="77777777" w:rsidTr="00E477D1">
        <w:tc>
          <w:tcPr>
            <w:tcW w:w="1525" w:type="dxa"/>
          </w:tcPr>
          <w:p w14:paraId="182834B2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ESL6</w:t>
            </w:r>
          </w:p>
        </w:tc>
        <w:tc>
          <w:tcPr>
            <w:tcW w:w="1710" w:type="dxa"/>
          </w:tcPr>
          <w:p w14:paraId="597A5FF0" w14:textId="77777777" w:rsidR="00AF6DB0" w:rsidRPr="00E477D1" w:rsidRDefault="00AF6DB0" w:rsidP="00291D22">
            <w:pPr>
              <w:rPr>
                <w:rFonts w:cs="Calibri"/>
              </w:rPr>
            </w:pPr>
            <w:r w:rsidRPr="00E477D1">
              <w:rPr>
                <w:rFonts w:cs="Calibri"/>
              </w:rPr>
              <w:t>43.0%</w:t>
            </w:r>
          </w:p>
        </w:tc>
      </w:tr>
    </w:tbl>
    <w:p w14:paraId="360A1694" w14:textId="77777777" w:rsidR="00AF6DB0" w:rsidRDefault="00AF6DB0" w:rsidP="00AF6DB0">
      <w:pPr>
        <w:spacing w:after="120"/>
        <w:ind w:left="720"/>
      </w:pPr>
    </w:p>
    <w:p w14:paraId="7095E242" w14:textId="43A37112" w:rsidR="00621D33" w:rsidRDefault="00621D33" w:rsidP="001A19D8">
      <w:pPr>
        <w:pStyle w:val="ListParagraph"/>
        <w:contextualSpacing w:val="0"/>
        <w:rPr>
          <w:rFonts w:ascii="Verdana" w:hAnsi="Verdana"/>
        </w:rPr>
      </w:pPr>
    </w:p>
    <w:p w14:paraId="46EF446B" w14:textId="13B139B3" w:rsidR="00D65F52" w:rsidRDefault="00DA60B6" w:rsidP="00435ABA">
      <w:pPr>
        <w:pStyle w:val="ListParagraph"/>
        <w:contextualSpacing w:val="0"/>
        <w:rPr>
          <w:rFonts w:ascii="Verdana" w:hAnsi="Verdana"/>
        </w:rPr>
      </w:pPr>
      <w:r>
        <w:rPr>
          <w:rFonts w:ascii="Verdana" w:hAnsi="Verdana"/>
          <w:u w:val="single"/>
        </w:rPr>
        <w:t>Each Grantee’s individual Measur</w:t>
      </w:r>
      <w:r w:rsidR="009A0E12">
        <w:rPr>
          <w:rFonts w:ascii="Verdana" w:hAnsi="Verdana"/>
          <w:u w:val="single"/>
        </w:rPr>
        <w:t>abl</w:t>
      </w:r>
      <w:r>
        <w:rPr>
          <w:rFonts w:ascii="Verdana" w:hAnsi="Verdana"/>
          <w:u w:val="single"/>
        </w:rPr>
        <w:t xml:space="preserve">e Skills Gain target will be based on the blended average of the above </w:t>
      </w:r>
      <w:r w:rsidR="009A0E12">
        <w:rPr>
          <w:rFonts w:ascii="Verdana" w:hAnsi="Verdana"/>
          <w:u w:val="single"/>
        </w:rPr>
        <w:t>sub</w:t>
      </w:r>
      <w:r>
        <w:rPr>
          <w:rFonts w:ascii="Verdana" w:hAnsi="Verdana"/>
          <w:u w:val="single"/>
        </w:rPr>
        <w:t>targets</w:t>
      </w:r>
      <w:r w:rsidR="009A0E12">
        <w:rPr>
          <w:rFonts w:ascii="Verdana" w:hAnsi="Verdana"/>
          <w:u w:val="single"/>
        </w:rPr>
        <w:t>,</w:t>
      </w:r>
      <w:r>
        <w:rPr>
          <w:rFonts w:ascii="Verdana" w:hAnsi="Verdana"/>
          <w:u w:val="single"/>
        </w:rPr>
        <w:t xml:space="preserve"> customized to their individual enrollment pattern</w:t>
      </w:r>
      <w:r w:rsidR="006C100C">
        <w:rPr>
          <w:rFonts w:ascii="Verdana" w:hAnsi="Verdana"/>
          <w:u w:val="single"/>
        </w:rPr>
        <w:t xml:space="preserve"> in PY</w:t>
      </w:r>
      <w:r w:rsidR="002E3343">
        <w:rPr>
          <w:rFonts w:ascii="Verdana" w:hAnsi="Verdana"/>
          <w:u w:val="single"/>
        </w:rPr>
        <w:t>20</w:t>
      </w:r>
      <w:r>
        <w:rPr>
          <w:rFonts w:ascii="Verdana" w:hAnsi="Verdana"/>
          <w:u w:val="single"/>
        </w:rPr>
        <w:t>.</w:t>
      </w:r>
    </w:p>
    <w:p w14:paraId="6420A53F" w14:textId="45DC8E60" w:rsidR="002E1EEA" w:rsidRDefault="00706BC5" w:rsidP="00F7267F">
      <w:pPr>
        <w:pStyle w:val="ListParagraph"/>
        <w:numPr>
          <w:ilvl w:val="0"/>
          <w:numId w:val="4"/>
        </w:numPr>
        <w:contextualSpacing w:val="0"/>
        <w:rPr>
          <w:rFonts w:ascii="Verdana" w:hAnsi="Verdana"/>
        </w:rPr>
      </w:pPr>
      <w:r>
        <w:rPr>
          <w:rFonts w:ascii="Verdana" w:hAnsi="Verdana"/>
          <w:b/>
        </w:rPr>
        <w:t>WIOA Exit</w:t>
      </w:r>
      <w:r w:rsidR="00D765A6" w:rsidRPr="00F03A36">
        <w:rPr>
          <w:rFonts w:ascii="Verdana" w:hAnsi="Verdana"/>
          <w:b/>
        </w:rPr>
        <w:t>-based Outcome Measures</w:t>
      </w:r>
      <w:r w:rsidR="00D765A6" w:rsidRPr="00F03A36">
        <w:rPr>
          <w:rFonts w:ascii="Verdana" w:hAnsi="Verdana"/>
        </w:rPr>
        <w:t xml:space="preserve"> –</w:t>
      </w:r>
      <w:r w:rsidR="00894251" w:rsidRPr="00F03A36">
        <w:rPr>
          <w:rFonts w:ascii="Verdana" w:hAnsi="Verdana"/>
        </w:rPr>
        <w:t xml:space="preserve">TWC </w:t>
      </w:r>
      <w:r w:rsidR="0085586E">
        <w:rPr>
          <w:rFonts w:ascii="Verdana" w:hAnsi="Verdana"/>
        </w:rPr>
        <w:t xml:space="preserve">has 3 </w:t>
      </w:r>
      <w:r>
        <w:rPr>
          <w:rFonts w:ascii="Verdana" w:hAnsi="Verdana"/>
        </w:rPr>
        <w:t>WIOA Exit</w:t>
      </w:r>
      <w:r w:rsidR="0085586E">
        <w:rPr>
          <w:rFonts w:ascii="Verdana" w:hAnsi="Verdana"/>
        </w:rPr>
        <w:t xml:space="preserve">-based AEL outcome measures </w:t>
      </w:r>
      <w:r w:rsidR="00AF6417">
        <w:rPr>
          <w:rFonts w:ascii="Verdana" w:hAnsi="Verdana"/>
        </w:rPr>
        <w:t xml:space="preserve">that we report </w:t>
      </w:r>
      <w:r w:rsidR="00010E42">
        <w:rPr>
          <w:rFonts w:ascii="Verdana" w:hAnsi="Verdana"/>
        </w:rPr>
        <w:t>to the Legislature and Governor’s Office through the Legislative Budget Board.  S</w:t>
      </w:r>
      <w:r w:rsidR="0085586E">
        <w:rPr>
          <w:rFonts w:ascii="Verdana" w:hAnsi="Verdana"/>
        </w:rPr>
        <w:t>taff recommend</w:t>
      </w:r>
      <w:r w:rsidR="008D213E">
        <w:rPr>
          <w:rFonts w:ascii="Verdana" w:hAnsi="Verdana"/>
        </w:rPr>
        <w:t>s</w:t>
      </w:r>
      <w:r w:rsidR="0085586E">
        <w:rPr>
          <w:rFonts w:ascii="Verdana" w:hAnsi="Verdana"/>
        </w:rPr>
        <w:t xml:space="preserve"> we set PY</w:t>
      </w:r>
      <w:r w:rsidR="00010E42">
        <w:rPr>
          <w:rFonts w:ascii="Verdana" w:hAnsi="Verdana"/>
        </w:rPr>
        <w:t>20</w:t>
      </w:r>
      <w:r w:rsidR="0085586E">
        <w:rPr>
          <w:rFonts w:ascii="Verdana" w:hAnsi="Verdana"/>
        </w:rPr>
        <w:t xml:space="preserve"> targets at the levels in the</w:t>
      </w:r>
      <w:r w:rsidR="00010E42">
        <w:rPr>
          <w:rFonts w:ascii="Verdana" w:hAnsi="Verdana"/>
        </w:rPr>
        <w:t xml:space="preserve"> </w:t>
      </w:r>
      <w:r w:rsidR="001A6BD0">
        <w:rPr>
          <w:rFonts w:ascii="Verdana" w:hAnsi="Verdana"/>
        </w:rPr>
        <w:t>202</w:t>
      </w:r>
      <w:r w:rsidR="00896B05">
        <w:rPr>
          <w:rFonts w:ascii="Verdana" w:hAnsi="Verdana"/>
        </w:rPr>
        <w:t>2</w:t>
      </w:r>
      <w:r w:rsidR="001A6BD0">
        <w:rPr>
          <w:rFonts w:ascii="Verdana" w:hAnsi="Verdana"/>
        </w:rPr>
        <w:t>-202</w:t>
      </w:r>
      <w:r w:rsidR="00896B05">
        <w:rPr>
          <w:rFonts w:ascii="Verdana" w:hAnsi="Verdana"/>
        </w:rPr>
        <w:t>3</w:t>
      </w:r>
      <w:r w:rsidR="001A6BD0">
        <w:rPr>
          <w:rFonts w:ascii="Verdana" w:hAnsi="Verdana"/>
        </w:rPr>
        <w:t xml:space="preserve"> </w:t>
      </w:r>
      <w:r w:rsidR="00010E42">
        <w:rPr>
          <w:rFonts w:ascii="Verdana" w:hAnsi="Verdana"/>
        </w:rPr>
        <w:t>LAR</w:t>
      </w:r>
      <w:r w:rsidR="00D765A6" w:rsidRPr="00F03A36">
        <w:rPr>
          <w:rFonts w:ascii="Verdana" w:hAnsi="Verdana"/>
        </w:rPr>
        <w:t>:</w:t>
      </w:r>
    </w:p>
    <w:p w14:paraId="53703CB3" w14:textId="0F2CF622" w:rsidR="002E1EEA" w:rsidRDefault="009A0BCB" w:rsidP="00F7267F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F03A36">
        <w:rPr>
          <w:rFonts w:ascii="Verdana" w:hAnsi="Verdana"/>
        </w:rPr>
        <w:t>Employed/Enrolled in Q2 Post-Exit</w:t>
      </w:r>
      <w:r w:rsidR="00D765A6" w:rsidRPr="00F03A36">
        <w:rPr>
          <w:rFonts w:ascii="Verdana" w:hAnsi="Verdana"/>
        </w:rPr>
        <w:t xml:space="preserve"> </w:t>
      </w:r>
      <w:r w:rsidR="001A6BD0">
        <w:rPr>
          <w:rFonts w:ascii="Verdana" w:hAnsi="Verdana"/>
        </w:rPr>
        <w:t xml:space="preserve">at </w:t>
      </w:r>
      <w:r w:rsidR="00D765A6" w:rsidRPr="00F03A36">
        <w:rPr>
          <w:rFonts w:ascii="Verdana" w:hAnsi="Verdana"/>
        </w:rPr>
        <w:t>34%</w:t>
      </w:r>
      <w:r w:rsidR="00E73737">
        <w:rPr>
          <w:rFonts w:ascii="Verdana" w:hAnsi="Verdana"/>
        </w:rPr>
        <w:t>;</w:t>
      </w:r>
    </w:p>
    <w:p w14:paraId="13D57E90" w14:textId="3872B753" w:rsidR="002E1EEA" w:rsidRDefault="009A0BCB" w:rsidP="00F7267F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F03A36">
        <w:rPr>
          <w:rFonts w:ascii="Verdana" w:hAnsi="Verdana"/>
        </w:rPr>
        <w:t xml:space="preserve">Employed/Enrolled in Q2-4 Post-Exit </w:t>
      </w:r>
      <w:r w:rsidR="002E1EEA">
        <w:rPr>
          <w:rFonts w:ascii="Verdana" w:hAnsi="Verdana"/>
        </w:rPr>
        <w:t xml:space="preserve">at </w:t>
      </w:r>
      <w:r w:rsidR="001B3C73">
        <w:rPr>
          <w:rFonts w:ascii="Verdana" w:hAnsi="Verdana"/>
        </w:rPr>
        <w:t>79.7</w:t>
      </w:r>
      <w:r w:rsidR="00D765A6" w:rsidRPr="00F03A36">
        <w:rPr>
          <w:rFonts w:ascii="Verdana" w:hAnsi="Verdana"/>
        </w:rPr>
        <w:t>%</w:t>
      </w:r>
      <w:r w:rsidR="00E73737">
        <w:rPr>
          <w:rFonts w:ascii="Verdana" w:hAnsi="Verdana"/>
        </w:rPr>
        <w:t>; and</w:t>
      </w:r>
    </w:p>
    <w:p w14:paraId="0065247F" w14:textId="39268053" w:rsidR="009A0BCB" w:rsidRDefault="00AF62ED" w:rsidP="00F7267F">
      <w:pPr>
        <w:pStyle w:val="ListParagraph"/>
        <w:numPr>
          <w:ilvl w:val="1"/>
          <w:numId w:val="4"/>
        </w:numPr>
        <w:rPr>
          <w:rFonts w:ascii="Verdana" w:hAnsi="Verdana"/>
        </w:rPr>
      </w:pPr>
      <w:r>
        <w:rPr>
          <w:rFonts w:ascii="Verdana" w:hAnsi="Verdana"/>
        </w:rPr>
        <w:t>Credential Rate at 3</w:t>
      </w:r>
      <w:r w:rsidR="002D77C7">
        <w:rPr>
          <w:rFonts w:ascii="Verdana" w:hAnsi="Verdana"/>
        </w:rPr>
        <w:t>9</w:t>
      </w:r>
      <w:r w:rsidR="002E1EEA">
        <w:rPr>
          <w:rFonts w:ascii="Verdana" w:hAnsi="Verdana"/>
        </w:rPr>
        <w:t>%</w:t>
      </w:r>
      <w:r w:rsidR="00D765A6" w:rsidRPr="00F03A36">
        <w:rPr>
          <w:rFonts w:ascii="Verdana" w:hAnsi="Verdana"/>
        </w:rPr>
        <w:t>.</w:t>
      </w:r>
    </w:p>
    <w:p w14:paraId="66845CF9" w14:textId="5BAFC3DF" w:rsidR="00E66ECC" w:rsidRDefault="002E1EEA" w:rsidP="00E66ECC">
      <w:pPr>
        <w:pStyle w:val="Heading1"/>
        <w:spacing w:before="0" w:after="160"/>
        <w:rPr>
          <w:rFonts w:ascii="Verdana" w:hAnsi="Verdana"/>
          <w:szCs w:val="22"/>
        </w:rPr>
      </w:pPr>
      <w:r>
        <w:rPr>
          <w:rFonts w:ascii="Verdana" w:hAnsi="Verdana"/>
          <w:b/>
        </w:rPr>
        <w:t>Request for Commission Actions</w:t>
      </w:r>
      <w:r w:rsidRPr="00F03A36">
        <w:rPr>
          <w:rFonts w:ascii="Verdana" w:hAnsi="Verdana"/>
        </w:rPr>
        <w:t xml:space="preserve"> – </w:t>
      </w:r>
      <w:r w:rsidRPr="00BB7323">
        <w:rPr>
          <w:rFonts w:ascii="Verdana" w:hAnsi="Verdana"/>
          <w:u w:val="single"/>
        </w:rPr>
        <w:t>Staff request</w:t>
      </w:r>
      <w:r w:rsidR="006C5D95">
        <w:rPr>
          <w:rFonts w:ascii="Verdana" w:hAnsi="Verdana"/>
          <w:u w:val="single"/>
        </w:rPr>
        <w:t>s</w:t>
      </w:r>
      <w:r w:rsidRPr="00BB7323">
        <w:rPr>
          <w:rFonts w:ascii="Verdana" w:hAnsi="Verdana"/>
          <w:u w:val="single"/>
        </w:rPr>
        <w:t xml:space="preserve"> the Commission approve </w:t>
      </w:r>
      <w:r w:rsidR="0086426C" w:rsidRPr="00BB7323">
        <w:rPr>
          <w:rFonts w:ascii="Verdana" w:hAnsi="Verdana"/>
          <w:u w:val="single"/>
        </w:rPr>
        <w:t>staff recommendations for PY</w:t>
      </w:r>
      <w:r w:rsidR="002D77C7" w:rsidRPr="00BB7323">
        <w:rPr>
          <w:rFonts w:ascii="Verdana" w:hAnsi="Verdana"/>
          <w:u w:val="single"/>
        </w:rPr>
        <w:t>20</w:t>
      </w:r>
      <w:r w:rsidR="0086426C" w:rsidRPr="00BB7323">
        <w:rPr>
          <w:rFonts w:ascii="Verdana" w:hAnsi="Verdana"/>
          <w:u w:val="single"/>
        </w:rPr>
        <w:t xml:space="preserve"> AEL Grantee Performance Measures</w:t>
      </w:r>
      <w:r w:rsidR="006A260F" w:rsidRPr="00BB7323">
        <w:rPr>
          <w:rFonts w:ascii="Verdana" w:hAnsi="Verdana"/>
          <w:u w:val="single"/>
        </w:rPr>
        <w:t xml:space="preserve"> and</w:t>
      </w:r>
      <w:r w:rsidR="0086426C" w:rsidRPr="00BB7323">
        <w:rPr>
          <w:rFonts w:ascii="Verdana" w:hAnsi="Verdana"/>
          <w:u w:val="single"/>
        </w:rPr>
        <w:t xml:space="preserve"> </w:t>
      </w:r>
      <w:r w:rsidRPr="00BB7323">
        <w:rPr>
          <w:rFonts w:ascii="Verdana" w:hAnsi="Verdana"/>
          <w:u w:val="single"/>
        </w:rPr>
        <w:t xml:space="preserve">the </w:t>
      </w:r>
      <w:r w:rsidR="0086426C" w:rsidRPr="00BB7323">
        <w:rPr>
          <w:rFonts w:ascii="Verdana" w:hAnsi="Verdana"/>
          <w:u w:val="single"/>
        </w:rPr>
        <w:t xml:space="preserve">outlined </w:t>
      </w:r>
      <w:r w:rsidRPr="00BB7323">
        <w:rPr>
          <w:rFonts w:ascii="Verdana" w:hAnsi="Verdana"/>
          <w:u w:val="single"/>
        </w:rPr>
        <w:t>target methodologies</w:t>
      </w:r>
      <w:r w:rsidR="006A260F" w:rsidRPr="00BB7323">
        <w:rPr>
          <w:rFonts w:ascii="Verdana" w:hAnsi="Verdana"/>
          <w:u w:val="single"/>
        </w:rPr>
        <w:t xml:space="preserve"> which staff will </w:t>
      </w:r>
      <w:r w:rsidRPr="00BB7323">
        <w:rPr>
          <w:rFonts w:ascii="Verdana" w:hAnsi="Verdana"/>
          <w:u w:val="single"/>
        </w:rPr>
        <w:t xml:space="preserve">apply </w:t>
      </w:r>
      <w:r w:rsidR="006C100C" w:rsidRPr="00BB7323">
        <w:rPr>
          <w:rFonts w:ascii="Verdana" w:hAnsi="Verdana"/>
          <w:u w:val="single"/>
        </w:rPr>
        <w:t xml:space="preserve">to </w:t>
      </w:r>
      <w:r w:rsidRPr="00BB7323">
        <w:rPr>
          <w:rFonts w:ascii="Verdana" w:hAnsi="Verdana"/>
          <w:u w:val="single"/>
        </w:rPr>
        <w:t xml:space="preserve">AEL Grantee performance evaluation </w:t>
      </w:r>
      <w:r w:rsidR="003D11D6">
        <w:rPr>
          <w:rFonts w:ascii="Verdana" w:hAnsi="Verdana"/>
          <w:u w:val="single"/>
        </w:rPr>
        <w:t>for</w:t>
      </w:r>
      <w:r w:rsidRPr="00BB7323">
        <w:rPr>
          <w:rFonts w:ascii="Verdana" w:hAnsi="Verdana"/>
          <w:u w:val="single"/>
        </w:rPr>
        <w:t xml:space="preserve"> PY</w:t>
      </w:r>
      <w:r w:rsidR="00CF0848" w:rsidRPr="00BB7323">
        <w:rPr>
          <w:rFonts w:ascii="Verdana" w:hAnsi="Verdana"/>
          <w:u w:val="single"/>
        </w:rPr>
        <w:t>20</w:t>
      </w:r>
      <w:r w:rsidR="00BB7323" w:rsidRPr="00BB7323">
        <w:rPr>
          <w:rFonts w:ascii="Verdana" w:hAnsi="Verdana"/>
          <w:u w:val="single"/>
        </w:rPr>
        <w:t>.</w:t>
      </w:r>
    </w:p>
    <w:p w14:paraId="0167D75A" w14:textId="6485FEF9" w:rsidR="002E1EEA" w:rsidRDefault="002E1EEA">
      <w:r>
        <w:br w:type="page"/>
      </w:r>
    </w:p>
    <w:p w14:paraId="21CF7B99" w14:textId="16642716" w:rsidR="0010443E" w:rsidRDefault="00BB7323" w:rsidP="0010443E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PY20</w:t>
      </w:r>
      <w:r w:rsidR="008E6C2F">
        <w:rPr>
          <w:rFonts w:ascii="Verdana" w:hAnsi="Verdana"/>
          <w:b/>
        </w:rPr>
        <w:t xml:space="preserve"> Participants Served Targets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0"/>
        <w:gridCol w:w="630"/>
        <w:gridCol w:w="990"/>
        <w:gridCol w:w="990"/>
        <w:gridCol w:w="1322"/>
        <w:gridCol w:w="928"/>
        <w:gridCol w:w="1080"/>
      </w:tblGrid>
      <w:tr w:rsidR="00E57AF6" w:rsidRPr="00E57AF6" w14:paraId="0EA8B18F" w14:textId="77777777" w:rsidTr="002654C7">
        <w:trPr>
          <w:trHeight w:val="691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A698" w14:textId="77777777" w:rsidR="00E57AF6" w:rsidRPr="00E57AF6" w:rsidRDefault="00E57AF6" w:rsidP="00E57A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bookmarkStart w:id="1" w:name="Title_Participants_Served_AEL_Targets"/>
            <w:bookmarkEnd w:id="1"/>
            <w:r w:rsidRPr="00E57AF6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AEL Grantee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EB82D" w14:textId="2D18BFE3" w:rsidR="00E57AF6" w:rsidRPr="00E57AF6" w:rsidRDefault="00AF62ED" w:rsidP="0085586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52DB" w14:textId="77777777" w:rsidR="00E57AF6" w:rsidRPr="00E57AF6" w:rsidRDefault="00E57AF6" w:rsidP="00E57A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E57AF6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EL Civics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55BE" w14:textId="77777777" w:rsidR="00E57AF6" w:rsidRPr="00E57AF6" w:rsidRDefault="00E57AF6" w:rsidP="00E57A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E57AF6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EL Civics IET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30C2" w14:textId="77777777" w:rsidR="00E57AF6" w:rsidRPr="00E57AF6" w:rsidRDefault="00E57AF6" w:rsidP="00E57A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E57AF6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Intensive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42C4A" w14:textId="77777777" w:rsidR="00E57AF6" w:rsidRPr="00E57AF6" w:rsidRDefault="00E57AF6" w:rsidP="00E57A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E57AF6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IET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3D3FF" w14:textId="77777777" w:rsidR="00E57AF6" w:rsidRPr="00E57AF6" w:rsidRDefault="00E57AF6" w:rsidP="00E57A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</w:pPr>
            <w:r w:rsidRPr="00E57AF6">
              <w:rPr>
                <w:rFonts w:ascii="Verdana" w:eastAsia="Times New Roman" w:hAnsi="Verdana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00E32EDD" w:rsidRPr="00E57AF6" w14:paraId="1C80B3F0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7F35" w14:textId="46A0AFA1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Abilene ISD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004D" w14:textId="1D7E9D11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1611D" w14:textId="60B29467" w:rsidR="00E32EDD" w:rsidRPr="00E73737" w:rsidRDefault="00BD5C8A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778E5" w14:textId="5937116B" w:rsidR="00E32EDD" w:rsidRPr="00E73737" w:rsidRDefault="00BD5C8A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59720" w14:textId="2F6995F1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3675D" w14:textId="1562E970" w:rsidR="00E32EDD" w:rsidRPr="00E73737" w:rsidRDefault="00BD5C8A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8D1323A" w14:textId="4F819DF8" w:rsidR="00E32EDD" w:rsidRPr="00E73737" w:rsidRDefault="00BD5C8A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837</w:t>
            </w:r>
          </w:p>
        </w:tc>
      </w:tr>
      <w:tr w:rsidR="00E32EDD" w:rsidRPr="00E57AF6" w14:paraId="52EA77A9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3C200" w14:textId="1D5C4608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Amarillo College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3C3D" w14:textId="77F764DD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1B984" w14:textId="2511DBB7" w:rsidR="00E32EDD" w:rsidRPr="00E73737" w:rsidRDefault="00BD5C8A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D020" w14:textId="212BC3F7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26EE" w14:textId="7F4C097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140FD" w14:textId="7E7ADB8B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072384" w14:textId="5BCB95AB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1</w:t>
            </w:r>
            <w:r>
              <w:t>,</w:t>
            </w:r>
            <w:r w:rsidRPr="00B1481F">
              <w:t>137</w:t>
            </w:r>
          </w:p>
        </w:tc>
      </w:tr>
      <w:tr w:rsidR="00E32EDD" w:rsidRPr="00E57AF6" w14:paraId="776CB8CB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8024" w14:textId="68E568D2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Angelina College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98E37" w14:textId="43F327EA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503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1A31C" w14:textId="35E34A71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B1574" w14:textId="3388815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2EA65" w14:textId="637EB6C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6E3B5" w14:textId="6D2211C8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4A6761" w14:textId="2C399D96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1</w:t>
            </w:r>
            <w:r>
              <w:t>,</w:t>
            </w:r>
            <w:r w:rsidRPr="00B1481F">
              <w:t>081</w:t>
            </w:r>
          </w:p>
        </w:tc>
      </w:tr>
      <w:tr w:rsidR="00E32EDD" w:rsidRPr="00E57AF6" w14:paraId="5767D0BA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4BAB" w14:textId="624F1DDD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Austin Comm College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5A5C7" w14:textId="103989AB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5A825" w14:textId="4F66CD97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324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08004" w14:textId="6EF6DA23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D47F" w14:textId="605095CF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EB12" w14:textId="45727066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DDF0B3" w14:textId="395F3C83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2</w:t>
            </w:r>
            <w:r>
              <w:t>,</w:t>
            </w:r>
            <w:r w:rsidRPr="00B1481F">
              <w:t>672</w:t>
            </w:r>
          </w:p>
        </w:tc>
      </w:tr>
      <w:tr w:rsidR="00E32EDD" w:rsidRPr="00E57AF6" w14:paraId="32EB1350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5745" w14:textId="0A632B8F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Brazos Valley COG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DAE3" w14:textId="198AB68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505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13B17" w14:textId="2B68B1E1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4A84F" w14:textId="4E96FD6F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9DF6D" w14:textId="36593D37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53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D34D6" w14:textId="244B2A9C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650C039" w14:textId="47C1FCC7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830</w:t>
            </w:r>
          </w:p>
        </w:tc>
      </w:tr>
      <w:tr w:rsidR="00E32EDD" w:rsidRPr="00E57AF6" w14:paraId="685EADE0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BE46" w14:textId="79897856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Brownsville ISD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77F1" w14:textId="29DA81E4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506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43C6" w14:textId="48698CB1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D9FF" w14:textId="0E0B898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60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1E805" w14:textId="2830FEB1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F0699" w14:textId="0767C0C3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0CDBF2" w14:textId="15A15033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1</w:t>
            </w:r>
            <w:r>
              <w:t>,</w:t>
            </w:r>
            <w:r w:rsidRPr="00B1481F">
              <w:t>453</w:t>
            </w:r>
          </w:p>
        </w:tc>
      </w:tr>
      <w:tr w:rsidR="00E32EDD" w:rsidRPr="00E57AF6" w14:paraId="557B592D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57D9" w14:textId="3EB5CB0A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Community Action Inc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3E1C5" w14:textId="5F3B15D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91668" w14:textId="275A9FD8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D9DCC" w14:textId="1DD8E8F6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55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B8B6E" w14:textId="5A9FFBF6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0B928" w14:textId="664A9026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CFBDDDE" w14:textId="688E6980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1</w:t>
            </w:r>
            <w:r>
              <w:t>,</w:t>
            </w:r>
            <w:r w:rsidRPr="00B1481F">
              <w:t>942</w:t>
            </w:r>
          </w:p>
        </w:tc>
      </w:tr>
      <w:tr w:rsidR="00E32EDD" w:rsidRPr="00E57AF6" w14:paraId="578B3BD5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F0C8" w14:textId="78C21027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Dallas County LWDB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15E6" w14:textId="47F29EB4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509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71277" w14:textId="05944092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671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C2717" w14:textId="2DFB15D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45841" w14:textId="005903DB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394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A603F" w14:textId="76E89182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575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55B384A" w14:textId="3A723D73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7</w:t>
            </w:r>
            <w:r>
              <w:t>,</w:t>
            </w:r>
            <w:r w:rsidRPr="00B1481F">
              <w:t>272</w:t>
            </w:r>
          </w:p>
        </w:tc>
      </w:tr>
      <w:tr w:rsidR="00E32EDD" w:rsidRPr="00E57AF6" w14:paraId="2F75E733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4920" w14:textId="41BF4704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Region 20 ESC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15EF" w14:textId="6214464F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B4C56" w14:textId="74584E57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366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6943" w14:textId="0E9A51AC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39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305D" w14:textId="05F85F8A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372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57E5" w14:textId="5BBB903A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CBCCA1" w14:textId="4BAC387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5</w:t>
            </w:r>
            <w:r>
              <w:t>,</w:t>
            </w:r>
            <w:r w:rsidRPr="00B1481F">
              <w:t>819</w:t>
            </w:r>
          </w:p>
        </w:tc>
      </w:tr>
      <w:tr w:rsidR="00E32EDD" w:rsidRPr="00E57AF6" w14:paraId="6B5F7A4E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5788" w14:textId="3EDA2715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Grayson College - Texoma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1EB9A" w14:textId="521A1710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83BB3" w14:textId="03CD2963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72A2D" w14:textId="12DA8D3A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9EC9F" w14:textId="17A22553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7555E" w14:textId="0CB9DA6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002ED89" w14:textId="1EC67FBD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578</w:t>
            </w:r>
          </w:p>
        </w:tc>
      </w:tr>
      <w:tr w:rsidR="00E32EDD" w:rsidRPr="00E57AF6" w14:paraId="2ABE1864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04DC" w14:textId="4DF390C3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Houston-Galveston Area Council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55F1" w14:textId="14055B6A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515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CFF93" w14:textId="101CD506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2</w:t>
            </w:r>
            <w:r>
              <w:t>,</w:t>
            </w:r>
            <w:r w:rsidRPr="00AB2E1B">
              <w:t>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5A283" w14:textId="726EB5F8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85BF3" w14:textId="26A0940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960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4362" w14:textId="72F12A24" w:rsidR="00E32EDD" w:rsidRPr="00E73737" w:rsidRDefault="00BD5C8A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4C1D2BA" w14:textId="28FF4FAD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16</w:t>
            </w:r>
            <w:r>
              <w:t>,</w:t>
            </w:r>
            <w:r w:rsidRPr="00B1481F">
              <w:t>611</w:t>
            </w:r>
          </w:p>
        </w:tc>
      </w:tr>
      <w:tr w:rsidR="00E32EDD" w:rsidRPr="00E57AF6" w14:paraId="31D4290E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809B" w14:textId="2C90AB6E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Howard College - Concho Valley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90B3" w14:textId="450D5E1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516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00D6C" w14:textId="0D59FCF3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FE5BE" w14:textId="36133680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6718" w14:textId="4AADA31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8B89E" w14:textId="5514DDB1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7F6862" w14:textId="617816D0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481</w:t>
            </w:r>
          </w:p>
        </w:tc>
      </w:tr>
      <w:tr w:rsidR="00E32EDD" w:rsidRPr="00E57AF6" w14:paraId="239B56D5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7D36E" w14:textId="2CDFB555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Howard College - Permian Basin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6F887" w14:textId="1D3C45F6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517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93D85" w14:textId="23A117A2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9CF23" w14:textId="0A58ACCC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C57EC" w14:textId="6BEDA76D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5A2EC" w14:textId="18FB99B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047F553" w14:textId="1EA9BDB6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165</w:t>
            </w:r>
          </w:p>
        </w:tc>
      </w:tr>
      <w:tr w:rsidR="00E32EDD" w:rsidRPr="00E57AF6" w14:paraId="379F1239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EEF84" w14:textId="2C54BE2B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Laredo Comm College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74F07" w14:textId="4A103C41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FA29A" w14:textId="4FB1B4CD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DA65D" w14:textId="05C9014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34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43560" w14:textId="1A76392A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05375" w14:textId="5C73B962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7E7018" w14:textId="65A071E4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1</w:t>
            </w:r>
            <w:r>
              <w:t>,</w:t>
            </w:r>
            <w:r w:rsidRPr="00B1481F">
              <w:t>051</w:t>
            </w:r>
          </w:p>
        </w:tc>
      </w:tr>
      <w:tr w:rsidR="00E32EDD" w:rsidRPr="00E57AF6" w14:paraId="7A90253A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F5D0" w14:textId="6BE47223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Literacy Council of Tyler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515FD" w14:textId="35FB9177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519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95444" w14:textId="23F48F0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287DF" w14:textId="01F02E0A" w:rsidR="00E32EDD" w:rsidRPr="00E73737" w:rsidRDefault="00BD5C8A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367AD" w14:textId="1C6C329B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46D2" w14:textId="50457D85" w:rsidR="00E32EDD" w:rsidRPr="00E73737" w:rsidRDefault="00BD5C8A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F729A24" w14:textId="573E340F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2</w:t>
            </w:r>
            <w:r>
              <w:t>,</w:t>
            </w:r>
            <w:r w:rsidRPr="00B1481F">
              <w:t>126</w:t>
            </w:r>
          </w:p>
        </w:tc>
      </w:tr>
      <w:tr w:rsidR="00E32EDD" w:rsidRPr="00E57AF6" w14:paraId="4C49F73F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12439" w14:textId="0F0859AD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McLennan Comm College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765D0" w14:textId="4E64F45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9C4DC" w14:textId="36AB8DF2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22622" w14:textId="0E842B7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DA3B7" w14:textId="6E3272C8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57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E9A9E" w14:textId="2AF533F7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25E720C" w14:textId="724B0A2A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958</w:t>
            </w:r>
          </w:p>
        </w:tc>
      </w:tr>
      <w:tr w:rsidR="00E32EDD" w:rsidRPr="00E57AF6" w14:paraId="72747BB6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F1144" w14:textId="11FEE482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Paris Jr College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2E54" w14:textId="7A911176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523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C1114" w14:textId="36CD2EEB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7E775" w14:textId="7287AFA1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76060" w14:textId="2F87FA3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919DE" w14:textId="7246F3D5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222F12" w14:textId="67C91706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469</w:t>
            </w:r>
          </w:p>
        </w:tc>
      </w:tr>
      <w:tr w:rsidR="00E32EDD" w:rsidRPr="00E57AF6" w14:paraId="7002F448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DB77" w14:textId="2A57CB96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Region 1 ESC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2693B" w14:textId="052A0CB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BBFCB" w14:textId="24D756C6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234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9B3E6" w14:textId="56DD7CEC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760C9" w14:textId="0A89D14D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283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DDE0" w14:textId="7F657BF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04D8EE" w14:textId="08600370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3</w:t>
            </w:r>
            <w:r>
              <w:t>,</w:t>
            </w:r>
            <w:r w:rsidRPr="00B1481F">
              <w:t>253</w:t>
            </w:r>
          </w:p>
        </w:tc>
      </w:tr>
      <w:tr w:rsidR="00E32EDD" w:rsidRPr="00E57AF6" w14:paraId="3AD21CA3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557C" w14:textId="393780EF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Region 17 ESC - Permian Basin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3C1B" w14:textId="215A153C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525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AB48" w14:textId="64AFBD1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3A9F8" w14:textId="56DBD55C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C6D82" w14:textId="4521842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1C29C" w14:textId="5EA03B6A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639EDB" w14:textId="5BE984B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78</w:t>
            </w:r>
          </w:p>
        </w:tc>
      </w:tr>
      <w:tr w:rsidR="00E32EDD" w:rsidRPr="00E57AF6" w14:paraId="57BA6B3F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7454" w14:textId="17ED726B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Region 17 ESC - South Plains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88F8F" w14:textId="0B4B41A0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526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84102" w14:textId="547D713B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2BE51" w14:textId="6E96392A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C2C67" w14:textId="56C3F080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03261" w14:textId="10A91F9F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B9673E" w14:textId="667086F3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1</w:t>
            </w:r>
            <w:r>
              <w:t>,</w:t>
            </w:r>
            <w:r w:rsidRPr="00B1481F">
              <w:t>119</w:t>
            </w:r>
          </w:p>
        </w:tc>
      </w:tr>
      <w:tr w:rsidR="00E32EDD" w:rsidRPr="00E57AF6" w14:paraId="3EC1BB5C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132CB" w14:textId="612146ED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Region 5 ESC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66699" w14:textId="54AAEDF4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527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AAEB0" w14:textId="10140E96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C44C5" w14:textId="0E6C01E6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70132" w14:textId="78DCEC1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66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5CDE1" w14:textId="1B1FBB67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E780E19" w14:textId="05F5F903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1</w:t>
            </w:r>
            <w:r>
              <w:t>,</w:t>
            </w:r>
            <w:r w:rsidRPr="00B1481F">
              <w:t>022</w:t>
            </w:r>
          </w:p>
        </w:tc>
      </w:tr>
      <w:tr w:rsidR="00E32EDD" w:rsidRPr="00E57AF6" w14:paraId="01BCC93C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8FF1" w14:textId="3C778D25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Region 9 ESC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7CA06" w14:textId="516EA6AC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E07DE" w14:textId="4D528797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B8A0" w14:textId="1924BDC0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797F5" w14:textId="63F2BBB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76EE" w14:textId="5202BEC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2F87C14" w14:textId="138F7DB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647</w:t>
            </w:r>
          </w:p>
        </w:tc>
      </w:tr>
      <w:tr w:rsidR="00E32EDD" w:rsidRPr="00E57AF6" w14:paraId="3E2CF1F7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BE97" w14:textId="1CFCF359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Southwest Texas Jr College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7EBF" w14:textId="2F104F2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58B4" w14:textId="03B14366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2B9C6" w14:textId="5CF69E7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DA63D" w14:textId="0AB5E52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4CAC" w14:textId="6639D867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9BD4C83" w14:textId="2380C1D2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725</w:t>
            </w:r>
          </w:p>
        </w:tc>
      </w:tr>
      <w:tr w:rsidR="00E32EDD" w:rsidRPr="00E57AF6" w14:paraId="75FB5D8F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694B" w14:textId="1FB9A9B8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Victoria Co Jr College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56E9" w14:textId="30B0B8CF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9FB5D" w14:textId="04A5765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D0D02" w14:textId="445906D5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C09E" w14:textId="4A182FFD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264C2" w14:textId="1F61883C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8404DF5" w14:textId="7931AD16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593</w:t>
            </w:r>
          </w:p>
        </w:tc>
      </w:tr>
      <w:tr w:rsidR="00E32EDD" w:rsidRPr="00E57AF6" w14:paraId="2E40F2E8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2192" w14:textId="06AEA330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Weatherford ISD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CA2A" w14:textId="74B70E93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533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564DB" w14:textId="7EB0A894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AF6DB" w14:textId="6C7A3BC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D0C78" w14:textId="47686208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43A6D" w14:textId="45ED2CF4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A52317B" w14:textId="422D0A7B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495</w:t>
            </w:r>
          </w:p>
        </w:tc>
      </w:tr>
      <w:tr w:rsidR="00E32EDD" w:rsidRPr="00E57AF6" w14:paraId="2D1486F9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831B" w14:textId="2DB708B3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Central Texas College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4799" w14:textId="61D59910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534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C998B" w14:textId="67A8F51B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B1E9F" w14:textId="5F5FCE00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28B48" w14:textId="263791B8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63AF8" w14:textId="2E4A2EBB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DA138FF" w14:textId="469C5777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323</w:t>
            </w:r>
          </w:p>
        </w:tc>
      </w:tr>
      <w:tr w:rsidR="00E32EDD" w:rsidRPr="00E57AF6" w14:paraId="70E2F214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CD83" w14:textId="5A5DD314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Temple College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ABFE7" w14:textId="5C777F0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535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EC4B" w14:textId="26AFF907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5B7F5" w14:textId="1093988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F337B" w14:textId="786E5D4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6CABA" w14:textId="090AFA93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F3C21A0" w14:textId="4A4F9905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913</w:t>
            </w:r>
          </w:p>
        </w:tc>
      </w:tr>
      <w:tr w:rsidR="00E32EDD" w:rsidRPr="00E57AF6" w14:paraId="3268C77C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EC51" w14:textId="6F521F4A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Tarrant County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AD6E" w14:textId="3C87469B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538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D0BCF" w14:textId="63FA878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439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ADC8A" w14:textId="1BF4CCB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46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B79E4" w14:textId="58000C43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298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EEA" w14:textId="710D293F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368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2131DBF" w14:textId="485EAEAC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4</w:t>
            </w:r>
            <w:r>
              <w:t>,</w:t>
            </w:r>
            <w:r w:rsidRPr="00B1481F">
              <w:t>665</w:t>
            </w:r>
          </w:p>
        </w:tc>
      </w:tr>
      <w:tr w:rsidR="00E32EDD" w:rsidRPr="00E57AF6" w14:paraId="0582C8D3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9A222" w14:textId="2CAC715D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Midland College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DEB24" w14:textId="6E85DA71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539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2700F" w14:textId="5B04AF5D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E131" w14:textId="6EFD051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8E44D" w14:textId="55B4C36A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2D19" w14:textId="741A31B8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DDDEABA" w14:textId="09446821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492</w:t>
            </w:r>
          </w:p>
        </w:tc>
      </w:tr>
      <w:tr w:rsidR="00E32EDD" w:rsidRPr="00E57AF6" w14:paraId="1AD8E746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F05AC" w14:textId="201A2334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Navarro College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941BF" w14:textId="25C54900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C00F2" w14:textId="182EDA4A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D2578" w14:textId="337EF238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35977" w14:textId="08031016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C0127" w14:textId="4A793D5D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6F4DD42" w14:textId="6F74B50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928</w:t>
            </w:r>
          </w:p>
        </w:tc>
      </w:tr>
      <w:tr w:rsidR="00E32EDD" w:rsidRPr="00E57AF6" w14:paraId="11CC545A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280C" w14:textId="1C8E46F0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Paris Jr College - North Central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61000" w14:textId="1944390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C051" w14:textId="49E317F5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EC80E" w14:textId="2EDEAC3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D98C1" w14:textId="6CDB6B31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9EB85" w14:textId="3D0FA96D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ADD2B20" w14:textId="479AA808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202</w:t>
            </w:r>
          </w:p>
        </w:tc>
      </w:tr>
      <w:tr w:rsidR="00E32EDD" w:rsidRPr="00E57AF6" w14:paraId="27A33567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CBF8F" w14:textId="694CCB8F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Region 2 ESC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B9FF" w14:textId="422A1D1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542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55ECD" w14:textId="24792D91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2BF48" w14:textId="44257CB6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0FAB6" w14:textId="6368EB5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ECB84" w14:textId="2FB8AF98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7627805" w14:textId="735FDA5E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1</w:t>
            </w:r>
            <w:r>
              <w:t>,</w:t>
            </w:r>
            <w:r w:rsidRPr="00B1481F">
              <w:t>689</w:t>
            </w:r>
          </w:p>
        </w:tc>
      </w:tr>
      <w:tr w:rsidR="00E32EDD" w:rsidRPr="00E57AF6" w14:paraId="6B2280D7" w14:textId="77777777" w:rsidTr="00955AF0">
        <w:trPr>
          <w:trHeight w:val="276"/>
        </w:trPr>
        <w:tc>
          <w:tcPr>
            <w:tcW w:w="38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853D" w14:textId="64ABDE83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Texarkana ISD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4050" w14:textId="308446E5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543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81E06" w14:textId="21758F5D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814E" w14:textId="2D6B2540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5EDB" w14:textId="23E70BF1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E960" w14:textId="356A364A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B5DE6A" w14:textId="2DC9C648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316</w:t>
            </w:r>
          </w:p>
        </w:tc>
      </w:tr>
      <w:tr w:rsidR="00E32EDD" w:rsidRPr="00E57AF6" w14:paraId="005CCE46" w14:textId="77777777" w:rsidTr="00955AF0"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5AD5F" w14:textId="5DA089F8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Ysleta ISD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8D354" w14:textId="72D9D392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011BC" w14:textId="209A55A4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607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5396E" w14:textId="7619FDDC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45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90C86" w14:textId="2569991F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125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2492B" w14:textId="03835962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EDE451" w14:textId="32FF2E2C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2</w:t>
            </w:r>
            <w:r>
              <w:t>,</w:t>
            </w:r>
            <w:r w:rsidRPr="00B1481F">
              <w:t>851</w:t>
            </w:r>
          </w:p>
        </w:tc>
      </w:tr>
      <w:tr w:rsidR="00E32EDD" w:rsidRPr="00E57AF6" w14:paraId="63FD8A52" w14:textId="77777777" w:rsidTr="00955AF0"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57B8" w14:textId="29967822" w:rsidR="00E32EDD" w:rsidRPr="00E73737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Odessa College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B1FBC" w14:textId="0C8B8001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D4CBB" w14:textId="7A04C2F5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58F2E" w14:textId="6D55A3CA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2AB42" w14:textId="2742A0AA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42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0CAC2" w14:textId="06B880F9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97F4EC4" w14:textId="21D84BEC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657</w:t>
            </w:r>
          </w:p>
        </w:tc>
      </w:tr>
      <w:tr w:rsidR="00E32EDD" w:rsidRPr="00E57AF6" w14:paraId="28CAA916" w14:textId="77777777" w:rsidTr="00955AF0"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53C7" w14:textId="61AAD4F1" w:rsidR="00E32EDD" w:rsidRPr="008E6C2F" w:rsidRDefault="00E32EDD" w:rsidP="00E32ED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Denton ISD (excludes Collin County)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AE3D7" w14:textId="2E90F938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3942F" w14:textId="0FC530D5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184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8AA31" w14:textId="61CBC5B3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AB2E1B"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5C87B" w14:textId="64C5C988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8F6BD" w14:textId="02666DDF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3D5F7A"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7BEAB9E" w14:textId="3F4938D7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</w:rPr>
            </w:pPr>
            <w:r w:rsidRPr="00B1481F">
              <w:t>2</w:t>
            </w:r>
            <w:r>
              <w:t>,</w:t>
            </w:r>
            <w:r w:rsidRPr="00B1481F">
              <w:t>075</w:t>
            </w:r>
          </w:p>
        </w:tc>
      </w:tr>
      <w:tr w:rsidR="00E32EDD" w:rsidRPr="00E57AF6" w14:paraId="48C446E9" w14:textId="77777777" w:rsidTr="00955AF0">
        <w:trPr>
          <w:trHeight w:val="288"/>
        </w:trPr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69E3" w14:textId="0AB59AFC" w:rsidR="00E32EDD" w:rsidRPr="00E73737" w:rsidRDefault="00E32EDD" w:rsidP="00E32EDD">
            <w:pPr>
              <w:spacing w:after="0" w:line="240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</w:rPr>
              <w:t>Grayson College - North Central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10926" w14:textId="74076D84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C58CEEB" w14:textId="14F7EC80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AB2E1B"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606FE96" w14:textId="43C100A0" w:rsidR="00E32EDD" w:rsidRPr="00E73737" w:rsidRDefault="00BD5C8A" w:rsidP="00E32E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AB2E1B">
              <w:t>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561ABF0" w14:textId="2613D547" w:rsidR="00E32EDD" w:rsidRPr="00E73737" w:rsidRDefault="00BD5C8A" w:rsidP="00E32E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D5F7A">
              <w:t>113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6F0E0228" w14:textId="6170FCA8" w:rsidR="00E32EDD" w:rsidRPr="00E73737" w:rsidRDefault="00BD5C8A" w:rsidP="00E32E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D5F7A"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775AEEC" w14:textId="77167122" w:rsidR="00E32EDD" w:rsidRPr="00E73737" w:rsidRDefault="00E32EDD" w:rsidP="00E32ED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B1481F">
              <w:t>1</w:t>
            </w:r>
            <w:r>
              <w:t>,</w:t>
            </w:r>
            <w:r w:rsidR="00BD5C8A" w:rsidRPr="00B1481F">
              <w:t>760</w:t>
            </w:r>
          </w:p>
        </w:tc>
      </w:tr>
      <w:tr w:rsidR="00E32EDD" w:rsidRPr="00E57AF6" w14:paraId="0792346E" w14:textId="77777777" w:rsidTr="00955AF0">
        <w:trPr>
          <w:trHeight w:val="288"/>
        </w:trPr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361F48D" w14:textId="77777777" w:rsidR="00E32EDD" w:rsidRPr="0085586E" w:rsidRDefault="00E32EDD" w:rsidP="00E32ED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85586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FEF83A3" w14:textId="77777777" w:rsidR="00E32EDD" w:rsidRPr="0085586E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85586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14:paraId="0299F832" w14:textId="1BE0F9C3" w:rsidR="00E32EDD" w:rsidRPr="008E6C2F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AB2E1B">
              <w:t>7,</w:t>
            </w:r>
            <w:r w:rsidR="00BD5C8A" w:rsidRPr="00AB2E1B">
              <w:t>380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14:paraId="67D339AE" w14:textId="76F93965" w:rsidR="00E32EDD" w:rsidRPr="008E6C2F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AB2E1B">
              <w:t>1,</w:t>
            </w:r>
            <w:r w:rsidR="00BD5C8A" w:rsidRPr="00AB2E1B">
              <w:t>173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14:paraId="2D58A5CD" w14:textId="0CBE2586" w:rsidR="00E32EDD" w:rsidRPr="008E6C2F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3D5F7A">
              <w:t>4,</w:t>
            </w:r>
            <w:r w:rsidR="00BD5C8A" w:rsidRPr="003D5F7A">
              <w:t>096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14:paraId="3CDD6EEF" w14:textId="516723C8" w:rsidR="00E32EDD" w:rsidRPr="008E6C2F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3D5F7A">
              <w:t>5,</w:t>
            </w:r>
            <w:r w:rsidR="00BD5C8A" w:rsidRPr="003D5F7A">
              <w:t>364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noWrap/>
          </w:tcPr>
          <w:p w14:paraId="15F588EA" w14:textId="20DC6BB5" w:rsidR="00E32EDD" w:rsidRPr="008E6C2F" w:rsidRDefault="00E32EDD" w:rsidP="00E32ED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</w:rPr>
            </w:pPr>
            <w:r w:rsidRPr="00B1481F">
              <w:t>70,</w:t>
            </w:r>
            <w:r w:rsidR="00BD5C8A" w:rsidRPr="00B1481F">
              <w:t>285</w:t>
            </w:r>
          </w:p>
        </w:tc>
      </w:tr>
    </w:tbl>
    <w:p w14:paraId="0EF21503" w14:textId="42CC288B" w:rsidR="002E1EEA" w:rsidRDefault="002E1EEA">
      <w:pPr>
        <w:rPr>
          <w:rFonts w:ascii="Verdana" w:hAnsi="Verdana"/>
        </w:rPr>
      </w:pPr>
    </w:p>
    <w:sectPr w:rsidR="002E1EEA" w:rsidSect="007525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1008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7D701" w14:textId="77777777" w:rsidR="00E92DB0" w:rsidRDefault="00E92DB0" w:rsidP="008A016C">
      <w:pPr>
        <w:spacing w:after="0" w:line="240" w:lineRule="auto"/>
      </w:pPr>
      <w:r>
        <w:separator/>
      </w:r>
    </w:p>
  </w:endnote>
  <w:endnote w:type="continuationSeparator" w:id="0">
    <w:p w14:paraId="0A2EF06E" w14:textId="77777777" w:rsidR="00E92DB0" w:rsidRDefault="00E92DB0" w:rsidP="008A016C">
      <w:pPr>
        <w:spacing w:after="0" w:line="240" w:lineRule="auto"/>
      </w:pPr>
      <w:r>
        <w:continuationSeparator/>
      </w:r>
    </w:p>
  </w:endnote>
  <w:endnote w:type="continuationNotice" w:id="1">
    <w:p w14:paraId="70B3C8F4" w14:textId="77777777" w:rsidR="00496D3F" w:rsidRDefault="00496D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DE80A" w14:textId="77777777" w:rsidR="006232DE" w:rsidRDefault="00623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649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FC2DF" w14:textId="186F99C3" w:rsidR="00842CD1" w:rsidRDefault="00842CD1" w:rsidP="00FB16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C59E" w14:textId="77777777" w:rsidR="006232DE" w:rsidRDefault="00623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413F5" w14:textId="77777777" w:rsidR="00E92DB0" w:rsidRDefault="00E92DB0" w:rsidP="008A016C">
      <w:pPr>
        <w:spacing w:after="0" w:line="240" w:lineRule="auto"/>
      </w:pPr>
      <w:r>
        <w:separator/>
      </w:r>
    </w:p>
  </w:footnote>
  <w:footnote w:type="continuationSeparator" w:id="0">
    <w:p w14:paraId="790ED2C5" w14:textId="77777777" w:rsidR="00E92DB0" w:rsidRDefault="00E92DB0" w:rsidP="008A016C">
      <w:pPr>
        <w:spacing w:after="0" w:line="240" w:lineRule="auto"/>
      </w:pPr>
      <w:r>
        <w:continuationSeparator/>
      </w:r>
    </w:p>
  </w:footnote>
  <w:footnote w:type="continuationNotice" w:id="1">
    <w:p w14:paraId="6A8951A2" w14:textId="77777777" w:rsidR="00496D3F" w:rsidRDefault="00496D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2797B" w14:textId="77777777" w:rsidR="006232DE" w:rsidRDefault="00623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13C6" w14:textId="56887102" w:rsidR="00842CD1" w:rsidRDefault="006232DE" w:rsidP="008A016C">
    <w:pPr>
      <w:pStyle w:val="Header"/>
      <w:jc w:val="center"/>
      <w:rPr>
        <w:rFonts w:ascii="Verdana" w:hAnsi="Verdana"/>
        <w:b/>
      </w:rPr>
    </w:pPr>
    <w:sdt>
      <w:sdtPr>
        <w:rPr>
          <w:rFonts w:ascii="Verdana" w:hAnsi="Verdana"/>
          <w:b/>
        </w:rPr>
        <w:id w:val="-1765227262"/>
        <w:docPartObj>
          <w:docPartGallery w:val="Watermarks"/>
          <w:docPartUnique/>
        </w:docPartObj>
      </w:sdtPr>
      <w:sdtContent>
        <w:r w:rsidRPr="006232DE">
          <w:rPr>
            <w:rFonts w:ascii="Verdana" w:hAnsi="Verdana"/>
            <w:b/>
            <w:noProof/>
          </w:rPr>
          <w:pict w14:anchorId="60FBA3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42CD1" w:rsidRPr="00F03A36">
      <w:rPr>
        <w:rFonts w:ascii="Verdana" w:hAnsi="Verdana"/>
        <w:b/>
      </w:rPr>
      <w:t>Discussion, Consideration and Possible Action Regarding Program Year 20</w:t>
    </w:r>
    <w:r w:rsidR="00A80A13">
      <w:rPr>
        <w:rFonts w:ascii="Verdana" w:hAnsi="Verdana"/>
        <w:b/>
      </w:rPr>
      <w:t>20</w:t>
    </w:r>
  </w:p>
  <w:p w14:paraId="025A5253" w14:textId="77777777" w:rsidR="00842CD1" w:rsidRPr="00F03A36" w:rsidRDefault="00842CD1" w:rsidP="008A016C">
    <w:pPr>
      <w:pStyle w:val="Header"/>
      <w:jc w:val="center"/>
      <w:rPr>
        <w:rFonts w:ascii="Verdana" w:hAnsi="Verdana"/>
        <w:b/>
      </w:rPr>
    </w:pPr>
    <w:r w:rsidRPr="00F03A36">
      <w:rPr>
        <w:rFonts w:ascii="Verdana" w:hAnsi="Verdana"/>
        <w:b/>
      </w:rPr>
      <w:t>Adult Education &amp; Literacy Grantee Performance Measures &amp; Targets</w:t>
    </w:r>
  </w:p>
  <w:p w14:paraId="5E14E0E4" w14:textId="77777777" w:rsidR="00842CD1" w:rsidRPr="008A016C" w:rsidRDefault="00842CD1" w:rsidP="008A016C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75CDD" w14:textId="77777777" w:rsidR="006232DE" w:rsidRDefault="00623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06DA"/>
    <w:multiLevelType w:val="hybridMultilevel"/>
    <w:tmpl w:val="390E3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C5461"/>
    <w:multiLevelType w:val="hybridMultilevel"/>
    <w:tmpl w:val="7E3062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D7CB2"/>
    <w:multiLevelType w:val="hybridMultilevel"/>
    <w:tmpl w:val="811EC3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B0414"/>
    <w:multiLevelType w:val="hybridMultilevel"/>
    <w:tmpl w:val="C1A2EC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3538D"/>
    <w:multiLevelType w:val="hybridMultilevel"/>
    <w:tmpl w:val="3C36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CD2"/>
    <w:multiLevelType w:val="hybridMultilevel"/>
    <w:tmpl w:val="345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A1DD8"/>
    <w:multiLevelType w:val="hybridMultilevel"/>
    <w:tmpl w:val="FC784D46"/>
    <w:lvl w:ilvl="0" w:tplc="0BD2D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B2179"/>
    <w:multiLevelType w:val="hybridMultilevel"/>
    <w:tmpl w:val="A3DE0114"/>
    <w:lvl w:ilvl="0" w:tplc="5A0003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C8"/>
    <w:rsid w:val="00002169"/>
    <w:rsid w:val="00010E42"/>
    <w:rsid w:val="0003107E"/>
    <w:rsid w:val="00052D4D"/>
    <w:rsid w:val="00053DFF"/>
    <w:rsid w:val="00055A62"/>
    <w:rsid w:val="000612C9"/>
    <w:rsid w:val="00064850"/>
    <w:rsid w:val="00065A67"/>
    <w:rsid w:val="0006736B"/>
    <w:rsid w:val="000751FA"/>
    <w:rsid w:val="000917D0"/>
    <w:rsid w:val="000D51E5"/>
    <w:rsid w:val="000F0D87"/>
    <w:rsid w:val="0010443E"/>
    <w:rsid w:val="00131125"/>
    <w:rsid w:val="00160815"/>
    <w:rsid w:val="0017484B"/>
    <w:rsid w:val="00181D05"/>
    <w:rsid w:val="001837D0"/>
    <w:rsid w:val="001847FD"/>
    <w:rsid w:val="001849AD"/>
    <w:rsid w:val="001A19D8"/>
    <w:rsid w:val="001A6BD0"/>
    <w:rsid w:val="001B3C73"/>
    <w:rsid w:val="001D685C"/>
    <w:rsid w:val="001E229D"/>
    <w:rsid w:val="001F4B0F"/>
    <w:rsid w:val="001F4F2A"/>
    <w:rsid w:val="001F7266"/>
    <w:rsid w:val="00220E22"/>
    <w:rsid w:val="00232F67"/>
    <w:rsid w:val="00264CB1"/>
    <w:rsid w:val="002654C7"/>
    <w:rsid w:val="00265536"/>
    <w:rsid w:val="00273BDB"/>
    <w:rsid w:val="00296F9D"/>
    <w:rsid w:val="002A31D5"/>
    <w:rsid w:val="002B1461"/>
    <w:rsid w:val="002B65C8"/>
    <w:rsid w:val="002C0812"/>
    <w:rsid w:val="002C7E9C"/>
    <w:rsid w:val="002D4DA9"/>
    <w:rsid w:val="002D77C7"/>
    <w:rsid w:val="002E1EEA"/>
    <w:rsid w:val="002E2A75"/>
    <w:rsid w:val="002E3343"/>
    <w:rsid w:val="002E4896"/>
    <w:rsid w:val="002E7D54"/>
    <w:rsid w:val="002F7212"/>
    <w:rsid w:val="00312D3B"/>
    <w:rsid w:val="003132CE"/>
    <w:rsid w:val="00322008"/>
    <w:rsid w:val="00345EBC"/>
    <w:rsid w:val="00346D08"/>
    <w:rsid w:val="00370FED"/>
    <w:rsid w:val="00380FD8"/>
    <w:rsid w:val="00381544"/>
    <w:rsid w:val="0038660A"/>
    <w:rsid w:val="00390156"/>
    <w:rsid w:val="00396CC6"/>
    <w:rsid w:val="003B403E"/>
    <w:rsid w:val="003D11D6"/>
    <w:rsid w:val="003E67D8"/>
    <w:rsid w:val="003F5495"/>
    <w:rsid w:val="004112BC"/>
    <w:rsid w:val="0041683B"/>
    <w:rsid w:val="004226F6"/>
    <w:rsid w:val="00435ABA"/>
    <w:rsid w:val="00455EFA"/>
    <w:rsid w:val="0046106A"/>
    <w:rsid w:val="004746DA"/>
    <w:rsid w:val="004852EF"/>
    <w:rsid w:val="00486DFE"/>
    <w:rsid w:val="00496D3F"/>
    <w:rsid w:val="004A774C"/>
    <w:rsid w:val="004B4D6C"/>
    <w:rsid w:val="004B7B8E"/>
    <w:rsid w:val="004D5618"/>
    <w:rsid w:val="004F2725"/>
    <w:rsid w:val="0050389D"/>
    <w:rsid w:val="00522589"/>
    <w:rsid w:val="00525B35"/>
    <w:rsid w:val="00553AAE"/>
    <w:rsid w:val="00561176"/>
    <w:rsid w:val="005850E3"/>
    <w:rsid w:val="00596C7D"/>
    <w:rsid w:val="005B32EC"/>
    <w:rsid w:val="005B5AF8"/>
    <w:rsid w:val="005B6FAA"/>
    <w:rsid w:val="005C1B0A"/>
    <w:rsid w:val="005E0FD8"/>
    <w:rsid w:val="005E379A"/>
    <w:rsid w:val="005E5D4B"/>
    <w:rsid w:val="005F495C"/>
    <w:rsid w:val="005F53C0"/>
    <w:rsid w:val="00605F3B"/>
    <w:rsid w:val="006107B5"/>
    <w:rsid w:val="0061094D"/>
    <w:rsid w:val="006116EC"/>
    <w:rsid w:val="00621D33"/>
    <w:rsid w:val="00622A73"/>
    <w:rsid w:val="006232DE"/>
    <w:rsid w:val="00635D47"/>
    <w:rsid w:val="00641D85"/>
    <w:rsid w:val="00642BD1"/>
    <w:rsid w:val="006467B1"/>
    <w:rsid w:val="006629CC"/>
    <w:rsid w:val="006726FD"/>
    <w:rsid w:val="006964C7"/>
    <w:rsid w:val="006A1BEA"/>
    <w:rsid w:val="006A260F"/>
    <w:rsid w:val="006B1709"/>
    <w:rsid w:val="006C100C"/>
    <w:rsid w:val="006C5D95"/>
    <w:rsid w:val="006D1882"/>
    <w:rsid w:val="006D7794"/>
    <w:rsid w:val="006E57FD"/>
    <w:rsid w:val="006F3312"/>
    <w:rsid w:val="007034D9"/>
    <w:rsid w:val="00704F32"/>
    <w:rsid w:val="00706BC5"/>
    <w:rsid w:val="00717801"/>
    <w:rsid w:val="007323CD"/>
    <w:rsid w:val="00735BCB"/>
    <w:rsid w:val="00746504"/>
    <w:rsid w:val="00752592"/>
    <w:rsid w:val="007724FB"/>
    <w:rsid w:val="0077702E"/>
    <w:rsid w:val="007779A7"/>
    <w:rsid w:val="00782938"/>
    <w:rsid w:val="0079055F"/>
    <w:rsid w:val="007A5E90"/>
    <w:rsid w:val="007D10B2"/>
    <w:rsid w:val="008115E9"/>
    <w:rsid w:val="00814F82"/>
    <w:rsid w:val="00835B33"/>
    <w:rsid w:val="00842CD1"/>
    <w:rsid w:val="00847B83"/>
    <w:rsid w:val="00850B9F"/>
    <w:rsid w:val="0085586E"/>
    <w:rsid w:val="00861088"/>
    <w:rsid w:val="0086426C"/>
    <w:rsid w:val="00890966"/>
    <w:rsid w:val="00890F36"/>
    <w:rsid w:val="008916B0"/>
    <w:rsid w:val="00894251"/>
    <w:rsid w:val="00896B05"/>
    <w:rsid w:val="008A016C"/>
    <w:rsid w:val="008B29A8"/>
    <w:rsid w:val="008C76BC"/>
    <w:rsid w:val="008D213E"/>
    <w:rsid w:val="008E22AB"/>
    <w:rsid w:val="008E5719"/>
    <w:rsid w:val="008E6311"/>
    <w:rsid w:val="008E6C2F"/>
    <w:rsid w:val="009014C0"/>
    <w:rsid w:val="00902E41"/>
    <w:rsid w:val="00907551"/>
    <w:rsid w:val="00933E7A"/>
    <w:rsid w:val="00983C94"/>
    <w:rsid w:val="00985593"/>
    <w:rsid w:val="009A023D"/>
    <w:rsid w:val="009A0BCB"/>
    <w:rsid w:val="009A0E12"/>
    <w:rsid w:val="009A3158"/>
    <w:rsid w:val="009A3A98"/>
    <w:rsid w:val="009B3BE8"/>
    <w:rsid w:val="009C54F9"/>
    <w:rsid w:val="009C756E"/>
    <w:rsid w:val="009D07F4"/>
    <w:rsid w:val="009D4D48"/>
    <w:rsid w:val="009D5635"/>
    <w:rsid w:val="009D798D"/>
    <w:rsid w:val="009D7C11"/>
    <w:rsid w:val="009E33F5"/>
    <w:rsid w:val="00A126D7"/>
    <w:rsid w:val="00A20942"/>
    <w:rsid w:val="00A21996"/>
    <w:rsid w:val="00A2795F"/>
    <w:rsid w:val="00A362FC"/>
    <w:rsid w:val="00A459B2"/>
    <w:rsid w:val="00A61327"/>
    <w:rsid w:val="00A63DBC"/>
    <w:rsid w:val="00A80A13"/>
    <w:rsid w:val="00A90C18"/>
    <w:rsid w:val="00AB3563"/>
    <w:rsid w:val="00AC3529"/>
    <w:rsid w:val="00AC7A93"/>
    <w:rsid w:val="00AE0B5D"/>
    <w:rsid w:val="00AE1777"/>
    <w:rsid w:val="00AF4107"/>
    <w:rsid w:val="00AF5D94"/>
    <w:rsid w:val="00AF62ED"/>
    <w:rsid w:val="00AF6417"/>
    <w:rsid w:val="00AF6DB0"/>
    <w:rsid w:val="00B02D98"/>
    <w:rsid w:val="00B12DD1"/>
    <w:rsid w:val="00B272A0"/>
    <w:rsid w:val="00B33871"/>
    <w:rsid w:val="00B44BA9"/>
    <w:rsid w:val="00B44E0A"/>
    <w:rsid w:val="00B45CA1"/>
    <w:rsid w:val="00B616A2"/>
    <w:rsid w:val="00B75F4C"/>
    <w:rsid w:val="00B7605C"/>
    <w:rsid w:val="00B91994"/>
    <w:rsid w:val="00BA28A8"/>
    <w:rsid w:val="00BB0B28"/>
    <w:rsid w:val="00BB7323"/>
    <w:rsid w:val="00BD5C8A"/>
    <w:rsid w:val="00BD6C8B"/>
    <w:rsid w:val="00BE172E"/>
    <w:rsid w:val="00BF4A71"/>
    <w:rsid w:val="00BF68B5"/>
    <w:rsid w:val="00C00D27"/>
    <w:rsid w:val="00C1014C"/>
    <w:rsid w:val="00C10157"/>
    <w:rsid w:val="00C15C1F"/>
    <w:rsid w:val="00C4586C"/>
    <w:rsid w:val="00C45ED5"/>
    <w:rsid w:val="00C54A55"/>
    <w:rsid w:val="00C5603C"/>
    <w:rsid w:val="00C64E0C"/>
    <w:rsid w:val="00C655FE"/>
    <w:rsid w:val="00C83755"/>
    <w:rsid w:val="00C869E6"/>
    <w:rsid w:val="00CC7520"/>
    <w:rsid w:val="00CD5B8B"/>
    <w:rsid w:val="00CE33D4"/>
    <w:rsid w:val="00CF0848"/>
    <w:rsid w:val="00D14EEC"/>
    <w:rsid w:val="00D16532"/>
    <w:rsid w:val="00D33CCB"/>
    <w:rsid w:val="00D42185"/>
    <w:rsid w:val="00D5121F"/>
    <w:rsid w:val="00D57E6F"/>
    <w:rsid w:val="00D63046"/>
    <w:rsid w:val="00D65C0F"/>
    <w:rsid w:val="00D65E17"/>
    <w:rsid w:val="00D65F52"/>
    <w:rsid w:val="00D765A6"/>
    <w:rsid w:val="00D93060"/>
    <w:rsid w:val="00D97FAF"/>
    <w:rsid w:val="00DA60B6"/>
    <w:rsid w:val="00DA788A"/>
    <w:rsid w:val="00DD359F"/>
    <w:rsid w:val="00DE6E3E"/>
    <w:rsid w:val="00E00E2C"/>
    <w:rsid w:val="00E0147C"/>
    <w:rsid w:val="00E058AA"/>
    <w:rsid w:val="00E30A5D"/>
    <w:rsid w:val="00E32EDD"/>
    <w:rsid w:val="00E35C23"/>
    <w:rsid w:val="00E3693F"/>
    <w:rsid w:val="00E448BF"/>
    <w:rsid w:val="00E4509A"/>
    <w:rsid w:val="00E46BA3"/>
    <w:rsid w:val="00E477D1"/>
    <w:rsid w:val="00E57283"/>
    <w:rsid w:val="00E57AF6"/>
    <w:rsid w:val="00E64E8E"/>
    <w:rsid w:val="00E66ECC"/>
    <w:rsid w:val="00E70220"/>
    <w:rsid w:val="00E72351"/>
    <w:rsid w:val="00E73737"/>
    <w:rsid w:val="00E840D1"/>
    <w:rsid w:val="00E92DB0"/>
    <w:rsid w:val="00EC5418"/>
    <w:rsid w:val="00EC6098"/>
    <w:rsid w:val="00EF3430"/>
    <w:rsid w:val="00F03A36"/>
    <w:rsid w:val="00F056AC"/>
    <w:rsid w:val="00F3411D"/>
    <w:rsid w:val="00F3752A"/>
    <w:rsid w:val="00F53017"/>
    <w:rsid w:val="00F6740D"/>
    <w:rsid w:val="00F7267F"/>
    <w:rsid w:val="00F7475E"/>
    <w:rsid w:val="00F74C14"/>
    <w:rsid w:val="00F76D96"/>
    <w:rsid w:val="00F85051"/>
    <w:rsid w:val="00FA040C"/>
    <w:rsid w:val="00FB168F"/>
    <w:rsid w:val="00FC6676"/>
    <w:rsid w:val="00FD7DD4"/>
    <w:rsid w:val="00FF19F0"/>
    <w:rsid w:val="00FF660E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4064B85"/>
  <w15:chartTrackingRefBased/>
  <w15:docId w15:val="{AB6E9E89-DBA2-489E-B93B-80F8FA09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0A5D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996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16C"/>
  </w:style>
  <w:style w:type="paragraph" w:styleId="Footer">
    <w:name w:val="footer"/>
    <w:basedOn w:val="Normal"/>
    <w:link w:val="FooterChar"/>
    <w:uiPriority w:val="99"/>
    <w:unhideWhenUsed/>
    <w:rsid w:val="008A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16C"/>
  </w:style>
  <w:style w:type="paragraph" w:styleId="FootnoteText">
    <w:name w:val="footnote text"/>
    <w:basedOn w:val="Normal"/>
    <w:link w:val="FootnoteTextChar"/>
    <w:uiPriority w:val="99"/>
    <w:semiHidden/>
    <w:unhideWhenUsed/>
    <w:rsid w:val="00596C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C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6C7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6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ED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C0812"/>
  </w:style>
  <w:style w:type="character" w:customStyle="1" w:styleId="Heading1Char">
    <w:name w:val="Heading 1 Char"/>
    <w:basedOn w:val="DefaultParagraphFont"/>
    <w:link w:val="Heading1"/>
    <w:uiPriority w:val="9"/>
    <w:rsid w:val="00E30A5D"/>
    <w:rPr>
      <w:rFonts w:eastAsiaTheme="majorEastAsia" w:cstheme="majorBidi"/>
      <w:color w:val="000000" w:themeColor="text1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F7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3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A44A8C0450B4EBB59DEB3D2EAB856" ma:contentTypeVersion="12" ma:contentTypeDescription="Create a new document." ma:contentTypeScope="" ma:versionID="8dcbc85c0e4a3e0750b381f8e39695ab">
  <xsd:schema xmlns:xsd="http://www.w3.org/2001/XMLSchema" xmlns:xs="http://www.w3.org/2001/XMLSchema" xmlns:p="http://schemas.microsoft.com/office/2006/metadata/properties" xmlns:ns3="59b5326b-8e51-4463-9ab6-b4a9ab75b448" xmlns:ns4="d787cd04-ef22-41ad-a731-3af2466952be" targetNamespace="http://schemas.microsoft.com/office/2006/metadata/properties" ma:root="true" ma:fieldsID="aac8e3981a1e827131be145c171a2fd0" ns3:_="" ns4:_="">
    <xsd:import namespace="59b5326b-8e51-4463-9ab6-b4a9ab75b448"/>
    <xsd:import namespace="d787cd04-ef22-41ad-a731-3af2466952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5326b-8e51-4463-9ab6-b4a9ab75b4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7cd04-ef22-41ad-a731-3af246695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F70D-232C-49BC-95FB-4979C31C29C5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d787cd04-ef22-41ad-a731-3af2466952b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59b5326b-8e51-4463-9ab6-b4a9ab75b448"/>
  </ds:schemaRefs>
</ds:datastoreItem>
</file>

<file path=customXml/itemProps2.xml><?xml version="1.0" encoding="utf-8"?>
<ds:datastoreItem xmlns:ds="http://schemas.openxmlformats.org/officeDocument/2006/customXml" ds:itemID="{2DE86EA5-E883-40CF-8C39-72171C868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3DCC2-28AA-40DF-AB96-861C5BBA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5326b-8e51-4463-9ab6-b4a9ab75b448"/>
    <ds:schemaRef ds:uri="d787cd04-ef22-41ad-a731-3af246695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214626-7F02-470B-B6B3-C4A70B43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PY17 AEL Measures Targets Briefing</vt:lpstr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PY17 AEL Measures Targets Briefing</dc:title>
  <dc:subject/>
  <dc:creator>TWC</dc:creator>
  <cp:keywords/>
  <dc:description/>
  <cp:lastModifiedBy>Baldini,Mahalia C</cp:lastModifiedBy>
  <cp:revision>3</cp:revision>
  <cp:lastPrinted>2017-08-21T23:08:00Z</cp:lastPrinted>
  <dcterms:created xsi:type="dcterms:W3CDTF">2020-12-30T16:41:00Z</dcterms:created>
  <dcterms:modified xsi:type="dcterms:W3CDTF">2021-01-13T15:36:00Z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0x010100F4CA44A8C0450B4EBB59DEB3D2EAB856</vt:lpwstr>
  </property>
</Properties>
</file>