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B303B" w:rsidR="00D02B89" w:rsidP="00D02B89" w:rsidRDefault="00D02B89" w14:paraId="66859BA8" w14:textId="77777777">
      <w:pPr>
        <w:pStyle w:val="Title"/>
      </w:pPr>
      <w:r w:rsidRPr="00102A70">
        <w:t>Agenda</w:t>
      </w:r>
    </w:p>
    <w:p w:rsidRPr="008256F0" w:rsidR="00D02B89" w:rsidP="00D02B89" w:rsidRDefault="00D02B89" w14:paraId="2EB17471" w14:textId="77777777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:rsidRPr="008256F0" w:rsidR="00D02B89" w:rsidP="00D02B89" w:rsidRDefault="00D02B89" w14:paraId="68CCE8EB" w14:textId="77777777">
      <w:pPr>
        <w:pStyle w:val="Title"/>
      </w:pPr>
      <w:r>
        <w:t>Texas Workforce Commission</w:t>
      </w:r>
    </w:p>
    <w:p w:rsidR="0E8D2167" w:rsidP="0BDBD369" w:rsidRDefault="0E8D2167" w14:paraId="3B58A8DF" w14:textId="0E84B1F7">
      <w:pPr>
        <w:pStyle w:val="MeetingDetails"/>
      </w:pPr>
      <w:r>
        <w:t xml:space="preserve">March </w:t>
      </w:r>
      <w:r w:rsidR="00381461">
        <w:t>25</w:t>
      </w:r>
      <w:r>
        <w:t>, 2021</w:t>
      </w:r>
    </w:p>
    <w:p w:rsidRPr="00BA7D7C" w:rsidR="00D02B89" w:rsidP="774E9C0F" w:rsidRDefault="00D02B89" w14:paraId="6088A67D" w14:textId="6BA9C89E">
      <w:pPr>
        <w:pStyle w:val="MeetingDetails"/>
        <w:rPr>
          <w:b w:val="1"/>
          <w:bCs w:val="1"/>
          <w:color w:val="860000"/>
        </w:rPr>
      </w:pPr>
      <w:r w:rsidRPr="774E9C0F" w:rsidR="1DC162FD">
        <w:rPr>
          <w:b w:val="1"/>
          <w:bCs w:val="1"/>
          <w:color w:val="860000"/>
        </w:rPr>
        <w:t>FINAL</w:t>
      </w:r>
    </w:p>
    <w:p w:rsidR="0084614E" w:rsidP="0084614E" w:rsidRDefault="00E62FBA" w14:paraId="739967C4" w14:textId="44D169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color w:val="414042"/>
        </w:rPr>
        <w:t>10:30 AM CST (9:30 AM MST</w:t>
      </w:r>
      <w:r w:rsidR="0084614E">
        <w:rPr>
          <w:rStyle w:val="normaltextrun"/>
          <w:rFonts w:cs="Segoe UI"/>
          <w:color w:val="414042"/>
        </w:rPr>
        <w:t>)</w:t>
      </w:r>
    </w:p>
    <w:p w:rsidR="0084614E" w:rsidP="0084614E" w:rsidRDefault="00AB0C97" w14:paraId="5F2EB0DA" w14:textId="046C30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history="1" r:id="rId10">
        <w:r w:rsidRPr="00AB0C97" w:rsidR="0084614E">
          <w:rPr>
            <w:rStyle w:val="Hyperlink"/>
            <w:rFonts w:ascii="Times New Roman" w:hAnsi="Times New Roman" w:cs="Segoe UI"/>
            <w:b/>
            <w:bCs/>
            <w:sz w:val="32"/>
            <w:szCs w:val="32"/>
          </w:rPr>
          <w:t>Live Event Attendee Link</w:t>
        </w:r>
      </w:hyperlink>
      <w:bookmarkStart w:name="_GoBack" w:id="0"/>
      <w:bookmarkEnd w:id="0"/>
    </w:p>
    <w:p w:rsidR="0084614E" w:rsidP="0084614E" w:rsidRDefault="0084614E" w14:paraId="1D4395B5" w14:textId="700C46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:rsidR="0084614E" w:rsidP="007B2EDA" w:rsidRDefault="0084614E" w14:paraId="6BD66E44" w14:textId="77777777">
      <w:pPr>
        <w:pStyle w:val="Heading1"/>
      </w:pPr>
    </w:p>
    <w:p w:rsidRPr="002B303B" w:rsidR="0086196D" w:rsidP="007B2EDA" w:rsidRDefault="005B4FA4" w14:paraId="77F132BB" w14:textId="44D2F38E">
      <w:pPr>
        <w:pStyle w:val="Heading1"/>
      </w:pPr>
      <w:r w:rsidR="251386D6">
        <w:rPr/>
        <w:t>Agenda details:</w:t>
      </w:r>
    </w:p>
    <w:p w:rsidR="4EFFFE13" w:rsidP="2F76367F" w:rsidRDefault="4EFFFE13" w14:paraId="597AF48D" w14:textId="13D8F7B1">
      <w:pPr>
        <w:pStyle w:val="Heading2"/>
        <w:bidi w:val="0"/>
        <w:spacing w:before="0" w:beforeAutospacing="off" w:after="300" w:afterAutospacing="off" w:line="300" w:lineRule="auto"/>
        <w:ind w:left="720" w:right="0" w:hanging="360"/>
        <w:jc w:val="left"/>
        <w:rPr/>
      </w:pPr>
      <w:r w:rsidR="4EFFFE13">
        <w:rPr/>
        <w:t>Upcoming Events</w:t>
      </w:r>
    </w:p>
    <w:p w:rsidRPr="00066A3C" w:rsidR="5EEB0AD2" w:rsidP="00066A3C" w:rsidRDefault="5EEB0AD2" w14:paraId="2BD2A575" w14:textId="0557AC62">
      <w:pPr>
        <w:pStyle w:val="ListParagraph"/>
        <w:numPr>
          <w:ilvl w:val="0"/>
          <w:numId w:val="30"/>
        </w:numPr>
      </w:pPr>
      <w:r>
        <w:t>March 26th (Friday) at 10:00am CST: IET Compliance and Costs: Show Me the Money! Ann Savino, Lori Slayton and Kara McVey</w:t>
      </w:r>
    </w:p>
    <w:p w:rsidR="3CF159AA" w:rsidP="249E50AC" w:rsidRDefault="00A543D3" w14:paraId="685F1EA8" w14:textId="4F9964D4">
      <w:pPr>
        <w:pStyle w:val="ListParagraph"/>
        <w:numPr>
          <w:ilvl w:val="0"/>
          <w:numId w:val="30"/>
        </w:numPr>
        <w:rPr/>
      </w:pPr>
      <w:r w:rsidR="00A543D3">
        <w:rPr/>
        <w:t>April 13</w:t>
      </w:r>
      <w:r w:rsidRPr="2F76367F" w:rsidR="00A543D3">
        <w:rPr>
          <w:vertAlign w:val="superscript"/>
        </w:rPr>
        <w:t>th</w:t>
      </w:r>
      <w:r w:rsidR="00A543D3">
        <w:rPr/>
        <w:t xml:space="preserve"> @ </w:t>
      </w:r>
      <w:r w:rsidR="39B20949">
        <w:rPr/>
        <w:t>1-2</w:t>
      </w:r>
      <w:r w:rsidR="15AF60D6">
        <w:rPr/>
        <w:t>pm (CST)</w:t>
      </w:r>
      <w:r w:rsidR="00253D5D">
        <w:rPr/>
        <w:t xml:space="preserve">  </w:t>
      </w:r>
      <w:r w:rsidR="008B464C">
        <w:rPr/>
        <w:t xml:space="preserve">: </w:t>
      </w:r>
      <w:r w:rsidR="3CF159AA">
        <w:rPr/>
        <w:t>Spirit of Collaboration: Literacy Texas, TWC, and panelist will host a collaborative webinar to discuss</w:t>
      </w:r>
      <w:r w:rsidR="22AA62A7">
        <w:rPr/>
        <w:t xml:space="preserve"> the need for more communication and collaboration with non-federal funded literacy organizations across Texas. </w:t>
      </w:r>
      <w:r w:rsidR="4D96A06C">
        <w:rPr/>
        <w:t xml:space="preserve"> </w:t>
      </w:r>
      <w:r w:rsidR="7A9EA881">
        <w:rPr/>
        <w:t>Register in the PD Portal or through Literacy Texas website</w:t>
      </w:r>
      <w:r w:rsidR="6A288767">
        <w:rPr/>
        <w:t xml:space="preserve">. </w:t>
      </w:r>
    </w:p>
    <w:p w:rsidR="0086196D" w:rsidP="0084614E" w:rsidRDefault="003601A0" w14:paraId="43424396" w14:textId="37A91F3A">
      <w:pPr>
        <w:pStyle w:val="Heading2"/>
        <w:rPr/>
      </w:pPr>
      <w:r w:rsidR="413018AC">
        <w:rPr/>
        <w:t xml:space="preserve">Program Spotlight </w:t>
      </w:r>
    </w:p>
    <w:p w:rsidRPr="009C1BF6" w:rsidR="009C1BF6" w:rsidP="009C1BF6" w:rsidRDefault="009C1BF6" w14:paraId="38510129" w14:textId="6CB7993D">
      <w:pPr>
        <w:pStyle w:val="BodyText"/>
        <w:numPr>
          <w:ilvl w:val="0"/>
          <w:numId w:val="32"/>
        </w:numPr>
        <w:rPr/>
      </w:pPr>
      <w:r w:rsidR="009C1BF6">
        <w:rPr/>
        <w:t>Southwest Texas Junior College</w:t>
      </w:r>
      <w:r w:rsidR="00107118">
        <w:rPr/>
        <w:t>, Joe Barker</w:t>
      </w:r>
      <w:r w:rsidR="009C1BF6">
        <w:rPr/>
        <w:t xml:space="preserve"> </w:t>
      </w:r>
      <w:r w:rsidR="00F331DF">
        <w:rPr/>
        <w:t>–</w:t>
      </w:r>
      <w:r w:rsidR="00FE50A1">
        <w:rPr/>
        <w:t xml:space="preserve"> </w:t>
      </w:r>
      <w:r w:rsidR="00253D5D">
        <w:rPr/>
        <w:t>Resilience in the Age of COVID-19</w:t>
      </w:r>
    </w:p>
    <w:p w:rsidR="1CA2A629" w:rsidP="774E9C0F" w:rsidRDefault="1CA2A629" w14:paraId="572EC06E" w14:textId="3665F11B">
      <w:pPr>
        <w:pStyle w:val="BodyText"/>
        <w:numPr>
          <w:ilvl w:val="0"/>
          <w:numId w:val="32"/>
        </w:numPr>
        <w:rPr/>
      </w:pPr>
      <w:r w:rsidR="1CA2A629">
        <w:rPr/>
        <w:t>If you want to nominate a local initiative for the next spotlight, send them to AELTA@twc.state.tx.us</w:t>
      </w:r>
    </w:p>
    <w:p w:rsidRPr="003601A0" w:rsidR="003601A0" w:rsidP="00AB0C97" w:rsidRDefault="009C1BF6" w14:paraId="568145ED" w14:textId="39534DF2">
      <w:pPr>
        <w:pStyle w:val="Heading2"/>
        <w:rPr/>
      </w:pPr>
      <w:r w:rsidR="4195DCCD">
        <w:rPr/>
        <w:t>Business Items</w:t>
      </w:r>
    </w:p>
    <w:p w:rsidR="000B713B" w:rsidP="0084614E" w:rsidRDefault="000B713B" w14:paraId="43EA0B4A" w14:textId="77777777">
      <w:pPr>
        <w:pStyle w:val="Heading3"/>
        <w:numPr>
          <w:ilvl w:val="1"/>
          <w:numId w:val="20"/>
        </w:numPr>
      </w:pPr>
      <w:r>
        <w:t>Welcome New Directors!</w:t>
      </w:r>
    </w:p>
    <w:p w:rsidR="75A8F1ED" w:rsidP="5E584C66" w:rsidRDefault="75A8F1ED" w14:paraId="7626EF1B" w14:textId="17BF8633">
      <w:pPr>
        <w:pStyle w:val="Heading3"/>
        <w:numPr>
          <w:ilvl w:val="1"/>
          <w:numId w:val="20"/>
        </w:numPr>
        <w:rPr/>
      </w:pPr>
      <w:r w:rsidR="588B40A9">
        <w:rPr/>
        <w:t xml:space="preserve">Survey &amp; </w:t>
      </w:r>
      <w:r w:rsidR="7C4D2754">
        <w:rPr/>
        <w:t xml:space="preserve">Town Hall </w:t>
      </w:r>
      <w:r w:rsidR="26423898">
        <w:rPr/>
        <w:t>M</w:t>
      </w:r>
      <w:r w:rsidR="7C4D2754">
        <w:rPr/>
        <w:t>eeting</w:t>
      </w:r>
      <w:r w:rsidR="045FAFE4">
        <w:rPr/>
        <w:t>—</w:t>
      </w:r>
      <w:r w:rsidR="4B7758F4">
        <w:rPr/>
        <w:t>April 8</w:t>
      </w:r>
      <w:r w:rsidRPr="2F76367F" w:rsidR="4B7758F4">
        <w:rPr>
          <w:vertAlign w:val="superscript"/>
        </w:rPr>
        <w:t>th</w:t>
      </w:r>
      <w:r w:rsidR="4B7758F4">
        <w:rPr/>
        <w:t>, watch for the invite</w:t>
      </w:r>
    </w:p>
    <w:p w:rsidR="75A8F1ED" w:rsidP="5E584C66" w:rsidRDefault="75A8F1ED" w14:paraId="19666741" w14:textId="732EE121">
      <w:pPr>
        <w:pStyle w:val="Heading3"/>
        <w:numPr>
          <w:ilvl w:val="2"/>
          <w:numId w:val="20"/>
        </w:numPr>
        <w:rPr>
          <w:b w:val="0"/>
          <w:bCs w:val="0"/>
        </w:rPr>
      </w:pPr>
      <w:r w:rsidR="7C4D2754">
        <w:rPr>
          <w:b w:val="0"/>
          <w:bCs w:val="0"/>
        </w:rPr>
        <w:t xml:space="preserve">Opportunity for providers to give feedback on local needs </w:t>
      </w:r>
    </w:p>
    <w:p w:rsidR="6D10580E" w:rsidP="5E584C66" w:rsidRDefault="6D10580E" w14:paraId="5790DA27" w14:textId="0486A48D">
      <w:pPr>
        <w:pStyle w:val="Heading3"/>
        <w:numPr>
          <w:ilvl w:val="2"/>
          <w:numId w:val="20"/>
        </w:numPr>
        <w:rPr>
          <w:b w:val="0"/>
          <w:bCs w:val="0"/>
        </w:rPr>
      </w:pPr>
      <w:r w:rsidR="68E17DC2">
        <w:rPr>
          <w:b w:val="0"/>
          <w:bCs w:val="0"/>
        </w:rPr>
        <w:t>Discuss new allowability for IET/ Workplace Literacy MSG’s</w:t>
      </w:r>
    </w:p>
    <w:p w:rsidR="6D10580E" w:rsidP="5E584C66" w:rsidRDefault="6D10580E" w14:paraId="41DD251F" w14:textId="355CBA06">
      <w:pPr>
        <w:pStyle w:val="Heading3"/>
        <w:numPr>
          <w:ilvl w:val="3"/>
          <w:numId w:val="20"/>
        </w:numPr>
        <w:rPr>
          <w:b w:val="0"/>
          <w:bCs w:val="0"/>
        </w:rPr>
      </w:pPr>
      <w:r w:rsidR="68E17DC2">
        <w:rPr>
          <w:b w:val="0"/>
          <w:bCs w:val="0"/>
        </w:rPr>
        <w:t xml:space="preserve">OCTAE Public comment responses </w:t>
      </w:r>
      <w:r w:rsidR="0C4CF9CA">
        <w:rPr>
          <w:b w:val="0"/>
          <w:bCs w:val="0"/>
        </w:rPr>
        <w:t>(attached)</w:t>
      </w:r>
    </w:p>
    <w:p w:rsidR="0084614E" w:rsidP="0084614E" w:rsidRDefault="006C0F0F" w14:paraId="11C36325" w14:textId="36ADC84D">
      <w:pPr>
        <w:pStyle w:val="Heading3"/>
        <w:numPr>
          <w:ilvl w:val="1"/>
          <w:numId w:val="20"/>
        </w:numPr>
      </w:pPr>
      <w:r>
        <w:t>TEAMS Release Follow-Up</w:t>
      </w:r>
    </w:p>
    <w:p w:rsidRPr="00E8693D" w:rsidR="006C0F0F" w:rsidP="249E50AC" w:rsidRDefault="006C0F0F" w14:paraId="0E2B6AA6" w14:textId="57AF261E">
      <w:pPr>
        <w:pStyle w:val="Heading3"/>
        <w:numPr>
          <w:ilvl w:val="2"/>
          <w:numId w:val="20"/>
        </w:numPr>
        <w:rPr>
          <w:b w:val="0"/>
          <w:bCs/>
        </w:rPr>
      </w:pPr>
      <w:r w:rsidRPr="00E8693D">
        <w:rPr>
          <w:b w:val="0"/>
          <w:bCs/>
        </w:rPr>
        <w:t>We will be addressing concerns</w:t>
      </w:r>
      <w:r w:rsidRPr="00E8693D" w:rsidR="002C2CBD">
        <w:rPr>
          <w:b w:val="0"/>
          <w:bCs/>
        </w:rPr>
        <w:t xml:space="preserve"> in a future release</w:t>
      </w:r>
    </w:p>
    <w:p w:rsidR="002C2CBD" w:rsidP="002C2CBD" w:rsidRDefault="004336E1" w14:paraId="7556386B" w14:textId="5A7EAF19">
      <w:pPr>
        <w:pStyle w:val="Heading3"/>
        <w:numPr>
          <w:ilvl w:val="1"/>
          <w:numId w:val="20"/>
        </w:numPr>
      </w:pPr>
      <w:r>
        <w:t>HiSet Vouchers have been deployed</w:t>
      </w:r>
    </w:p>
    <w:p w:rsidR="004336E1" w:rsidP="004336E1" w:rsidRDefault="004336E1" w14:paraId="68DCF8D2" w14:textId="11ABD892">
      <w:pPr>
        <w:pStyle w:val="Heading4"/>
        <w:numPr>
          <w:ilvl w:val="2"/>
          <w:numId w:val="20"/>
        </w:numPr>
        <w:rPr/>
      </w:pPr>
      <w:r w:rsidR="004336E1">
        <w:rPr/>
        <w:t xml:space="preserve">All </w:t>
      </w:r>
      <w:proofErr w:type="spellStart"/>
      <w:r w:rsidR="004336E1">
        <w:rPr/>
        <w:t>HiSet</w:t>
      </w:r>
      <w:proofErr w:type="spellEnd"/>
      <w:r w:rsidR="004336E1">
        <w:rPr/>
        <w:t xml:space="preserve"> test must be </w:t>
      </w:r>
      <w:r w:rsidRPr="2F76367F" w:rsidR="004336E1">
        <w:rPr>
          <w:i w:val="1"/>
          <w:iCs w:val="1"/>
        </w:rPr>
        <w:t>taken</w:t>
      </w:r>
      <w:r w:rsidR="004336E1">
        <w:rPr/>
        <w:t xml:space="preserve"> by August 3</w:t>
      </w:r>
      <w:r w:rsidR="2218E593">
        <w:rPr/>
        <w:t>1</w:t>
      </w:r>
      <w:r w:rsidR="004336E1">
        <w:rPr/>
        <w:t>,</w:t>
      </w:r>
      <w:r w:rsidR="00E8693D">
        <w:rPr/>
        <w:t xml:space="preserve"> </w:t>
      </w:r>
      <w:r w:rsidR="004336E1">
        <w:rPr/>
        <w:t>2021</w:t>
      </w:r>
    </w:p>
    <w:p w:rsidR="00E8693D" w:rsidP="00E8693D" w:rsidRDefault="009F028D" w14:paraId="4D41F448" w14:textId="2650CA33">
      <w:pPr>
        <w:pStyle w:val="Heading3"/>
        <w:numPr>
          <w:ilvl w:val="1"/>
          <w:numId w:val="20"/>
        </w:numPr>
        <w:rPr/>
      </w:pPr>
      <w:r w:rsidR="00B17D7F">
        <w:rPr/>
        <w:t xml:space="preserve"> De</w:t>
      </w:r>
      <w:r w:rsidR="00936D4F">
        <w:rPr/>
        <w:t>-</w:t>
      </w:r>
      <w:r w:rsidR="00B17D7F">
        <w:rPr/>
        <w:t>obligation</w:t>
      </w:r>
      <w:r w:rsidR="6E55E9F2">
        <w:rPr/>
        <w:t>s</w:t>
      </w:r>
      <w:r w:rsidR="009F028D">
        <w:rPr/>
        <w:t xml:space="preserve"> PY 20-21</w:t>
      </w:r>
    </w:p>
    <w:p w:rsidR="00B17D7F" w:rsidP="00B17D7F" w:rsidRDefault="000517B3" w14:paraId="1AD939F1" w14:textId="09168778">
      <w:pPr>
        <w:pStyle w:val="Heading4"/>
        <w:numPr>
          <w:ilvl w:val="2"/>
          <w:numId w:val="20"/>
        </w:numPr>
      </w:pPr>
      <w:r>
        <w:lastRenderedPageBreak/>
        <w:t>Your Year 3 funds and targets will carryforward into Y4</w:t>
      </w:r>
      <w:r w:rsidR="0050533C">
        <w:t>—plan accordingly</w:t>
      </w:r>
    </w:p>
    <w:p w:rsidR="009F028D" w:rsidP="009F028D" w:rsidRDefault="009F028D" w14:paraId="3E0B9A9C" w14:textId="38028E25">
      <w:pPr>
        <w:pStyle w:val="Heading4"/>
        <w:numPr>
          <w:ilvl w:val="2"/>
          <w:numId w:val="20"/>
        </w:numPr>
      </w:pPr>
      <w:r>
        <w:t>Now is the time</w:t>
      </w:r>
      <w:r w:rsidR="00362C50">
        <w:t xml:space="preserve"> to develop a strong summer enrollment strategy</w:t>
      </w:r>
    </w:p>
    <w:p w:rsidRPr="00362C50" w:rsidR="00362C50" w:rsidP="00362C50" w:rsidRDefault="00362C50" w14:paraId="55140386" w14:textId="124B53F9">
      <w:pPr>
        <w:pStyle w:val="Heading4"/>
        <w:numPr>
          <w:ilvl w:val="2"/>
          <w:numId w:val="20"/>
        </w:numPr>
        <w:rPr/>
      </w:pPr>
      <w:r w:rsidR="00362C50">
        <w:rPr/>
        <w:t xml:space="preserve">Next opportunity for de-obligation </w:t>
      </w:r>
      <w:r w:rsidR="4C0F1CA1">
        <w:rPr/>
        <w:t xml:space="preserve">will be </w:t>
      </w:r>
      <w:r w:rsidR="4C0F1CA1">
        <w:rPr/>
        <w:t>Fall</w:t>
      </w:r>
      <w:r w:rsidR="00C63DF7">
        <w:rPr/>
        <w:t xml:space="preserve"> 2021</w:t>
      </w:r>
    </w:p>
    <w:p w:rsidR="00066A3C" w:rsidP="0084614E" w:rsidRDefault="00066A3C" w14:paraId="5843F819" w14:textId="4291A9A7">
      <w:pPr>
        <w:pStyle w:val="Heading2"/>
        <w:rPr/>
      </w:pPr>
      <w:r w:rsidR="4A782B48">
        <w:rPr/>
        <w:t>Policy</w:t>
      </w:r>
    </w:p>
    <w:p w:rsidRPr="00066A3C" w:rsidR="00066A3C" w:rsidP="00066A3C" w:rsidRDefault="00AB0C97" w14:paraId="69264BF3" w14:textId="6C470564">
      <w:pPr>
        <w:pStyle w:val="BodyText"/>
        <w:numPr>
          <w:ilvl w:val="0"/>
          <w:numId w:val="31"/>
        </w:numPr>
        <w:rPr/>
      </w:pPr>
      <w:hyperlink r:id="R7bc56e2883ff4317">
        <w:r w:rsidRPr="774E9C0F" w:rsidR="143F613B">
          <w:rPr>
            <w:rStyle w:val="Hyperlink"/>
          </w:rPr>
          <w:t>AEL Letter 01.21, Change 1- HSE Subsidy Letter</w:t>
        </w:r>
      </w:hyperlink>
    </w:p>
    <w:p w:rsidR="7D859B2B" w:rsidP="774E9C0F" w:rsidRDefault="7D859B2B" w14:paraId="0FDB6FBF" w14:textId="4AF8FBFC">
      <w:pPr>
        <w:pStyle w:val="BodyText"/>
        <w:numPr>
          <w:ilvl w:val="0"/>
          <w:numId w:val="31"/>
        </w:numPr>
        <w:rPr/>
      </w:pPr>
      <w:r w:rsidR="7D859B2B">
        <w:rPr/>
        <w:t>AEL Targets PBF Letter (coming soon)</w:t>
      </w:r>
    </w:p>
    <w:p w:rsidR="0086196D" w:rsidP="0084614E" w:rsidRDefault="0036436D" w14:paraId="2584650A" w14:textId="20445980">
      <w:pPr>
        <w:pStyle w:val="Heading2"/>
        <w:rPr/>
      </w:pPr>
      <w:r w:rsidR="3629194B">
        <w:rPr/>
        <w:t>Professional Development</w:t>
      </w:r>
    </w:p>
    <w:p w:rsidRPr="00AC0863" w:rsidR="00580261" w:rsidP="00580261" w:rsidRDefault="00580261" w14:paraId="7E6BF382" w14:textId="77777777">
      <w:pPr>
        <w:pStyle w:val="ListParagraph"/>
        <w:numPr>
          <w:ilvl w:val="0"/>
          <w:numId w:val="31"/>
        </w:numPr>
      </w:pPr>
      <w:r w:rsidRPr="00AC0863">
        <w:t>March 26, 2021 – 10:00 am CST - IET Compliance and Costs: Show Me the Money!</w:t>
      </w:r>
    </w:p>
    <w:p w:rsidRPr="00AC0863" w:rsidR="00580261" w:rsidP="00580261" w:rsidRDefault="00253D5D" w14:paraId="12038AF6" w14:textId="7E9424EA">
      <w:pPr>
        <w:pStyle w:val="ListParagraph"/>
        <w:numPr>
          <w:ilvl w:val="0"/>
          <w:numId w:val="31"/>
        </w:numPr>
      </w:pPr>
      <w:r>
        <w:t>April 2, 2021 – 11:30 am CS</w:t>
      </w:r>
      <w:r w:rsidRPr="00AC0863" w:rsidR="00580261">
        <w:t>T - Tech and Tell: CK-12 Digital Resources for Educators (Part 1)</w:t>
      </w:r>
    </w:p>
    <w:p w:rsidRPr="00AC0863" w:rsidR="00580261" w:rsidP="00580261" w:rsidRDefault="00580261" w14:paraId="2CF6B970" w14:textId="7D12D903">
      <w:pPr>
        <w:pStyle w:val="ListParagraph"/>
        <w:numPr>
          <w:ilvl w:val="0"/>
          <w:numId w:val="31"/>
        </w:numPr>
      </w:pPr>
      <w:r w:rsidRPr="00AC0863">
        <w:t>April 7, 2021 – 1:00 pm</w:t>
      </w:r>
      <w:r w:rsidR="00253D5D">
        <w:t xml:space="preserve"> CS</w:t>
      </w:r>
      <w:r w:rsidRPr="00AC0863">
        <w:t xml:space="preserve">T - Teams That Get Results (Pilot) – 3 hr. </w:t>
      </w:r>
    </w:p>
    <w:p w:rsidRPr="00AC0863" w:rsidR="00580261" w:rsidP="00580261" w:rsidRDefault="00580261" w14:paraId="1034CEC3" w14:textId="1B2C2841">
      <w:pPr>
        <w:pStyle w:val="ListParagraph"/>
        <w:numPr>
          <w:ilvl w:val="0"/>
          <w:numId w:val="31"/>
        </w:numPr>
      </w:pPr>
      <w:r w:rsidRPr="00AC0863">
        <w:t xml:space="preserve">April 9, 2021 – </w:t>
      </w:r>
      <w:r w:rsidR="00253D5D">
        <w:t>11:00 am CS</w:t>
      </w:r>
      <w:r w:rsidRPr="00AC0863">
        <w:t xml:space="preserve">T - Math Assistance Call Center – Are YOU on Board? – 1 ½ hr. </w:t>
      </w:r>
    </w:p>
    <w:p w:rsidRPr="00AC0863" w:rsidR="00580261" w:rsidP="00580261" w:rsidRDefault="00253D5D" w14:paraId="54ECD6D8" w14:textId="75A2A1D2">
      <w:pPr>
        <w:pStyle w:val="ListParagraph"/>
        <w:numPr>
          <w:ilvl w:val="0"/>
          <w:numId w:val="31"/>
        </w:numPr>
      </w:pPr>
      <w:r>
        <w:t>April 9, 2021 – 11:30 am CS</w:t>
      </w:r>
      <w:r w:rsidRPr="00AC0863" w:rsidR="00580261">
        <w:t>T - Tech and Tell: CK-12 Digital Resources for Educators (Part 2)</w:t>
      </w:r>
    </w:p>
    <w:p w:rsidRPr="00AC0863" w:rsidR="00580261" w:rsidP="00580261" w:rsidRDefault="00253D5D" w14:paraId="1CFB0BAA" w14:textId="182CE780">
      <w:pPr>
        <w:pStyle w:val="ListParagraph"/>
        <w:numPr>
          <w:ilvl w:val="0"/>
          <w:numId w:val="31"/>
        </w:numPr>
        <w:rPr/>
      </w:pPr>
      <w:r w:rsidRPr="2F76367F" w:rsidR="00253D5D">
        <w:rPr>
          <w:b w:val="1"/>
          <w:bCs w:val="1"/>
        </w:rPr>
        <w:t>April 13, 2021 – noon CS</w:t>
      </w:r>
      <w:r w:rsidRPr="2F76367F" w:rsidR="00580261">
        <w:rPr>
          <w:b w:val="1"/>
          <w:bCs w:val="1"/>
        </w:rPr>
        <w:t xml:space="preserve">T - Teacher Tuesday: Teaching Skills That Matter </w:t>
      </w:r>
      <w:r w:rsidRPr="2F76367F" w:rsidR="797A7832">
        <w:rPr>
          <w:b w:val="1"/>
          <w:bCs w:val="1"/>
        </w:rPr>
        <w:t>(Beth)</w:t>
      </w:r>
    </w:p>
    <w:p w:rsidRPr="00AC0863" w:rsidR="00580261" w:rsidP="00580261" w:rsidRDefault="00580261" w14:paraId="65FB4183" w14:textId="009FA814">
      <w:pPr>
        <w:pStyle w:val="ListParagraph"/>
        <w:numPr>
          <w:ilvl w:val="0"/>
          <w:numId w:val="31"/>
        </w:numPr>
      </w:pPr>
      <w:r w:rsidRPr="00AC0863">
        <w:t>April 13, 2021 – 1:00 pm</w:t>
      </w:r>
      <w:r w:rsidR="00253D5D">
        <w:t xml:space="preserve"> CS</w:t>
      </w:r>
      <w:r w:rsidRPr="00AC0863">
        <w:t xml:space="preserve">T - In </w:t>
      </w:r>
      <w:r w:rsidRPr="00AC0863" w:rsidR="00253D5D">
        <w:t>the</w:t>
      </w:r>
      <w:r w:rsidRPr="00AC0863">
        <w:t xml:space="preserve"> Spirit of Collaboration</w:t>
      </w:r>
    </w:p>
    <w:p w:rsidRPr="00AC0863" w:rsidR="00580261" w:rsidP="00580261" w:rsidRDefault="00580261" w14:paraId="730D26BD" w14:textId="77777777">
      <w:pPr>
        <w:pStyle w:val="ListParagraph"/>
        <w:numPr>
          <w:ilvl w:val="0"/>
          <w:numId w:val="31"/>
        </w:numPr>
      </w:pPr>
      <w:r w:rsidRPr="00AC0863">
        <w:t>April 13-15, 2021 – times vary - Texas Style CASAS Test Administrator Training &amp; TOT</w:t>
      </w:r>
    </w:p>
    <w:p w:rsidRPr="00AC0863" w:rsidR="00580261" w:rsidP="00580261" w:rsidRDefault="00580261" w14:paraId="5A940CEE" w14:textId="195A53A0">
      <w:pPr>
        <w:pStyle w:val="ListParagraph"/>
        <w:numPr>
          <w:ilvl w:val="0"/>
          <w:numId w:val="31"/>
        </w:numPr>
      </w:pPr>
      <w:r w:rsidRPr="00AC0863">
        <w:t>April 14, 2021 – 3:30 pm</w:t>
      </w:r>
      <w:r w:rsidR="00253D5D">
        <w:t xml:space="preserve"> CS</w:t>
      </w:r>
      <w:r w:rsidRPr="00AC0863">
        <w:t xml:space="preserve">T - Teaching Reading Vocabulary Remotely or in Person 1 ½ hrs. </w:t>
      </w:r>
    </w:p>
    <w:p w:rsidRPr="00AC0863" w:rsidR="00580261" w:rsidP="00580261" w:rsidRDefault="00580261" w14:paraId="7CC0F26E" w14:textId="750FF8C9">
      <w:pPr>
        <w:pStyle w:val="ListParagraph"/>
        <w:numPr>
          <w:ilvl w:val="0"/>
          <w:numId w:val="31"/>
        </w:numPr>
      </w:pPr>
      <w:r w:rsidRPr="00AC0863">
        <w:t>April 24, 2021 – 8:30 am – 4:30 p</w:t>
      </w:r>
      <w:r w:rsidR="00253D5D">
        <w:t>m CS</w:t>
      </w:r>
      <w:r w:rsidRPr="00AC0863">
        <w:t>T - Texas Style TABE 11/12 Online Training of Trainers (TOT)</w:t>
      </w:r>
    </w:p>
    <w:p w:rsidRPr="00AC0863" w:rsidR="00580261" w:rsidP="00580261" w:rsidRDefault="00580261" w14:paraId="11215C5A" w14:textId="77777777">
      <w:pPr>
        <w:pStyle w:val="ListParagraph"/>
        <w:numPr>
          <w:ilvl w:val="0"/>
          <w:numId w:val="31"/>
        </w:numPr>
      </w:pPr>
      <w:r w:rsidRPr="00AC0863">
        <w:t xml:space="preserve">April 28 – 30 - times vary - BEST Plus 2.0 Training of Trainer (TOT) – deadline to register is April 9. </w:t>
      </w:r>
    </w:p>
    <w:p w:rsidRPr="002B303B" w:rsidR="0036436D" w:rsidP="0084614E" w:rsidRDefault="0036436D" w14:paraId="5463254F" w14:textId="5BD3F650">
      <w:pPr>
        <w:pStyle w:val="Heading2"/>
        <w:rPr/>
      </w:pPr>
      <w:r w:rsidR="3629194B">
        <w:rPr/>
        <w:t>NOTICES and Reminders</w:t>
      </w:r>
    </w:p>
    <w:p w:rsidR="00B22DBA" w:rsidP="00B22DBA" w:rsidRDefault="00B22DBA" w14:paraId="1F6C38F9" w14:textId="45FA8502">
      <w:pPr>
        <w:pStyle w:val="ListParagraph"/>
        <w:numPr>
          <w:ilvl w:val="0"/>
          <w:numId w:val="31"/>
        </w:numPr>
      </w:pPr>
      <w:r>
        <w:t>Dates:</w:t>
      </w:r>
    </w:p>
    <w:p w:rsidR="00F04679" w:rsidP="00B22DBA" w:rsidRDefault="00F04679" w14:paraId="0EF527B1" w14:textId="6B1497CA">
      <w:pPr>
        <w:pStyle w:val="ListParagraph"/>
        <w:numPr>
          <w:ilvl w:val="1"/>
          <w:numId w:val="31"/>
        </w:numPr>
      </w:pPr>
      <w:r>
        <w:t>Q3 Data Sign Off Due April 15</w:t>
      </w:r>
      <w:r w:rsidRPr="00F04679">
        <w:rPr>
          <w:vertAlign w:val="superscript"/>
        </w:rPr>
        <w:t>th</w:t>
      </w:r>
      <w:r>
        <w:t>, 2021</w:t>
      </w:r>
    </w:p>
    <w:p w:rsidR="00B22DBA" w:rsidP="00B22DBA" w:rsidRDefault="00D01450" w14:paraId="36CD78EA" w14:textId="1E5BF9E1">
      <w:pPr>
        <w:pStyle w:val="ListParagraph"/>
        <w:numPr>
          <w:ilvl w:val="1"/>
          <w:numId w:val="31"/>
        </w:numPr>
      </w:pPr>
      <w:r>
        <w:t xml:space="preserve">Performance Based </w:t>
      </w:r>
      <w:r w:rsidR="00253D5D">
        <w:t>Funding:</w:t>
      </w:r>
      <w:r w:rsidR="00F04679">
        <w:t xml:space="preserve"> Quarter 3 Data Sign Off, Get those MSG’s tracked</w:t>
      </w:r>
      <w:r w:rsidR="000B713B">
        <w:t xml:space="preserve"> for Q2 cohort</w:t>
      </w:r>
    </w:p>
    <w:p w:rsidR="000B713B" w:rsidP="00B22DBA" w:rsidRDefault="000B713B" w14:paraId="0A7D0303" w14:textId="0BFEC1EC">
      <w:pPr>
        <w:pStyle w:val="ListParagraph"/>
        <w:numPr>
          <w:ilvl w:val="1"/>
          <w:numId w:val="31"/>
        </w:numPr>
      </w:pPr>
      <w:r>
        <w:t>HSE Voucher Trackers are due 15</w:t>
      </w:r>
      <w:r w:rsidRPr="000B713B">
        <w:rPr>
          <w:vertAlign w:val="superscript"/>
        </w:rPr>
        <w:t>th</w:t>
      </w:r>
      <w:r>
        <w:t xml:space="preserve"> of each month </w:t>
      </w:r>
    </w:p>
    <w:p w:rsidR="12B3902E" w:rsidP="2F76367F" w:rsidRDefault="12B3902E" w14:paraId="68A042F0" w14:textId="6F95F0D7">
      <w:pPr>
        <w:pStyle w:val="ListParagraph"/>
        <w:numPr>
          <w:ilvl w:val="2"/>
          <w:numId w:val="31"/>
        </w:numPr>
        <w:rPr/>
      </w:pPr>
      <w:r w:rsidR="12B3902E">
        <w:rPr/>
        <w:t>Some of you have two trackers to submit: GED and HiSet</w:t>
      </w:r>
    </w:p>
    <w:p w:rsidR="00F04679" w:rsidP="000B713B" w:rsidRDefault="00F04679" w14:paraId="6435F7C0" w14:textId="1AF69DA0">
      <w:pPr>
        <w:pStyle w:val="ListParagraph"/>
        <w:ind w:left="2016"/>
      </w:pPr>
    </w:p>
    <w:p w:rsidR="00B22DBA" w:rsidP="00B22DBA" w:rsidRDefault="00B22DBA" w14:paraId="37BB44AD" w14:textId="0C9DDE77">
      <w:pPr>
        <w:pStyle w:val="ListParagraph"/>
        <w:numPr>
          <w:ilvl w:val="0"/>
          <w:numId w:val="31"/>
        </w:numPr>
      </w:pPr>
      <w:r>
        <w:t>Reminders:</w:t>
      </w:r>
    </w:p>
    <w:p w:rsidRPr="00B22DBA" w:rsidR="00B22DBA" w:rsidP="00B22DBA" w:rsidRDefault="00B22DBA" w14:paraId="72D7F450" w14:textId="78AF332E">
      <w:pPr>
        <w:pStyle w:val="ListParagraph"/>
        <w:numPr>
          <w:ilvl w:val="1"/>
          <w:numId w:val="31"/>
        </w:numPr>
      </w:pPr>
      <w:r w:rsidRPr="00B22DBA">
        <w:t>Grant Email Subject and Deliverables Naming Convention Requirements:</w:t>
      </w:r>
      <w:r w:rsidRPr="00B22DBA">
        <w:rPr>
          <w:rFonts w:ascii="Times New Roman" w:hAnsi="Times New Roman" w:cs="Times New Roman"/>
        </w:rPr>
        <w:t> </w:t>
      </w:r>
      <w:r w:rsidRPr="00B22DBA">
        <w:t>When submitting any grant deliverables to the AELContracts@twc.state.tx.us email address, the TWC grant number is required in the subject of the email and in the file name of the delivera</w:t>
      </w:r>
      <w:r>
        <w:t>ble.</w:t>
      </w:r>
    </w:p>
    <w:p w:rsidRPr="00B22DBA" w:rsidR="00B22DBA" w:rsidP="00B22DBA" w:rsidRDefault="00B22DBA" w14:paraId="4B1BB11C" w14:textId="1ACBDB09">
      <w:pPr>
        <w:pStyle w:val="ListParagraph"/>
        <w:numPr>
          <w:ilvl w:val="1"/>
          <w:numId w:val="31"/>
        </w:numPr>
      </w:pPr>
      <w:r w:rsidRPr="00B22DBA">
        <w:t xml:space="preserve">Please send updated Point of Contact and Signatory Authority information to our TWC AEL Office as soon as possible. </w:t>
      </w:r>
      <w:r>
        <w:br/>
      </w:r>
      <w:r w:rsidRPr="00B22DBA">
        <w:t xml:space="preserve">Email to: contracts@twc.state.tx.us and alaina.zachmann@twc.state.tx.us </w:t>
      </w:r>
    </w:p>
    <w:p w:rsidRPr="002B303B" w:rsidR="00E1025E" w:rsidP="00AB0C97" w:rsidRDefault="00E1025E" w14:paraId="37BF4B1B" w14:textId="29FEB3E3">
      <w:pPr>
        <w:pStyle w:val="Heading2"/>
        <w:rPr/>
      </w:pPr>
      <w:r w:rsidRPr="002B303B" w:rsidR="1712710B">
        <w:rPr/>
        <w:t xml:space="preserve">Upcoming Bi-weekly Call Schedule Dates </w:t>
      </w:r>
      <w:r w:rsidR="00F62C64">
        <w:br w:type="textWrapping" w:clear="all"/>
      </w:r>
      <w:r w:rsidRPr="00F62C64" w:rsidR="1712710B">
        <w:rPr>
          <w:b w:val="0"/>
          <w:bCs w:val="0"/>
        </w:rPr>
        <w:t>(Unless noted on the agenda. All calls 10:3</w:t>
      </w:r>
      <w:r w:rsidR="36DA0728">
        <w:rPr>
          <w:b w:val="0"/>
          <w:bCs w:val="0"/>
        </w:rPr>
        <w:t>0 AM CST (9:30 AM MST</w:t>
      </w:r>
      <w:r w:rsidRPr="00F62C64" w:rsidR="55BD92D2">
        <w:rPr>
          <w:b w:val="0"/>
          <w:bCs w:val="0"/>
        </w:rPr>
        <w:t>)</w:t>
      </w:r>
    </w:p>
    <w:p w:rsidRPr="00E477B0" w:rsidR="00E477B0" w:rsidP="00E477B0" w:rsidRDefault="00E477B0" w14:paraId="62F81122" w14:textId="5280B102">
      <w:pPr>
        <w:ind w:left="720"/>
      </w:pPr>
      <w:r w:rsidRPr="00E477B0">
        <w:t>Thursday, April 8, 2021</w:t>
      </w:r>
    </w:p>
    <w:p w:rsidRPr="00E477B0" w:rsidR="00E477B0" w:rsidP="00E477B0" w:rsidRDefault="00E477B0" w14:paraId="2E137836" w14:textId="0E02E4D6">
      <w:pPr>
        <w:ind w:left="720"/>
      </w:pPr>
      <w:r w:rsidRPr="00E477B0">
        <w:t>Thursday, April 22, 2021</w:t>
      </w:r>
    </w:p>
    <w:p w:rsidRPr="00E477B0" w:rsidR="00E477B0" w:rsidP="00E477B0" w:rsidRDefault="00E477B0" w14:paraId="2011971F" w14:textId="14E81905">
      <w:pPr>
        <w:ind w:left="720"/>
      </w:pPr>
      <w:r w:rsidRPr="00E477B0">
        <w:t>Thursday, May 6, 2021</w:t>
      </w:r>
    </w:p>
    <w:p w:rsidRPr="00E477B0" w:rsidR="00E477B0" w:rsidP="00E477B0" w:rsidRDefault="00E477B0" w14:paraId="271492B6" w14:textId="58EA024D">
      <w:pPr>
        <w:ind w:left="720"/>
      </w:pPr>
      <w:r w:rsidRPr="00E477B0">
        <w:t>Thursday, May 20, 2021</w:t>
      </w:r>
    </w:p>
    <w:sectPr w:rsidRPr="00E477B0" w:rsidR="00E477B0" w:rsidSect="00E00FC1">
      <w:footerReference w:type="default" r:id="rId12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97" w:rsidRDefault="00AB0C97" w14:paraId="42E09E50" w14:textId="77777777">
      <w:pPr>
        <w:spacing w:after="0" w:line="240" w:lineRule="auto"/>
      </w:pPr>
      <w:r>
        <w:separator/>
      </w:r>
    </w:p>
  </w:endnote>
  <w:endnote w:type="continuationSeparator" w:id="0">
    <w:p w:rsidR="00AB0C97" w:rsidRDefault="00AB0C97" w14:paraId="5A8B4C24" w14:textId="77777777">
      <w:pPr>
        <w:spacing w:after="0" w:line="240" w:lineRule="auto"/>
      </w:pPr>
      <w:r>
        <w:continuationSeparator/>
      </w:r>
    </w:p>
  </w:endnote>
  <w:endnote w:type="continuationNotice" w:id="1">
    <w:p w:rsidR="00AB0C97" w:rsidRDefault="00AB0C97" w14:paraId="4CBDCA2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97" w:rsidRDefault="00AB0C97" w14:paraId="4402E51B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97" w:rsidRDefault="00AB0C97" w14:paraId="6AA43E91" w14:textId="77777777">
      <w:pPr>
        <w:spacing w:after="0" w:line="240" w:lineRule="auto"/>
      </w:pPr>
      <w:r>
        <w:separator/>
      </w:r>
    </w:p>
  </w:footnote>
  <w:footnote w:type="continuationSeparator" w:id="0">
    <w:p w:rsidR="00AB0C97" w:rsidRDefault="00AB0C97" w14:paraId="5D7EC545" w14:textId="77777777">
      <w:pPr>
        <w:spacing w:after="0" w:line="240" w:lineRule="auto"/>
      </w:pPr>
      <w:r>
        <w:continuationSeparator/>
      </w:r>
    </w:p>
  </w:footnote>
  <w:footnote w:type="continuationNotice" w:id="1">
    <w:p w:rsidR="00AB0C97" w:rsidRDefault="00AB0C97" w14:paraId="61E04E7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B5E801A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30662F0">
      <w:numFmt w:val="decimal"/>
      <w:lvlText w:val=""/>
      <w:lvlJc w:val="left"/>
    </w:lvl>
    <w:lvl w:ilvl="2" w:tplc="292C0352">
      <w:numFmt w:val="decimal"/>
      <w:lvlText w:val=""/>
      <w:lvlJc w:val="left"/>
    </w:lvl>
    <w:lvl w:ilvl="3" w:tplc="AEDE0ED8">
      <w:numFmt w:val="decimal"/>
      <w:lvlText w:val=""/>
      <w:lvlJc w:val="left"/>
    </w:lvl>
    <w:lvl w:ilvl="4" w:tplc="DDB29E72">
      <w:numFmt w:val="decimal"/>
      <w:lvlText w:val=""/>
      <w:lvlJc w:val="left"/>
    </w:lvl>
    <w:lvl w:ilvl="5" w:tplc="FDD2E4F8">
      <w:numFmt w:val="decimal"/>
      <w:lvlText w:val=""/>
      <w:lvlJc w:val="left"/>
    </w:lvl>
    <w:lvl w:ilvl="6" w:tplc="ACBE6FA4">
      <w:numFmt w:val="decimal"/>
      <w:lvlText w:val=""/>
      <w:lvlJc w:val="left"/>
    </w:lvl>
    <w:lvl w:ilvl="7" w:tplc="66A4FBBC">
      <w:numFmt w:val="decimal"/>
      <w:lvlText w:val=""/>
      <w:lvlJc w:val="left"/>
    </w:lvl>
    <w:lvl w:ilvl="8" w:tplc="2562A870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285200"/>
    <w:multiLevelType w:val="multilevel"/>
    <w:tmpl w:val="02F275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13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152842EE"/>
    <w:multiLevelType w:val="multilevel"/>
    <w:tmpl w:val="7C74F37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B24D64"/>
    <w:multiLevelType w:val="hybridMultilevel"/>
    <w:tmpl w:val="0409001D"/>
    <w:lvl w:ilvl="0" w:tplc="E84E9D90">
      <w:start w:val="1"/>
      <w:numFmt w:val="decimal"/>
      <w:lvlText w:val="%1)"/>
      <w:lvlJc w:val="left"/>
      <w:pPr>
        <w:ind w:left="360" w:hanging="360"/>
      </w:pPr>
    </w:lvl>
    <w:lvl w:ilvl="1" w:tplc="2C6A3F14">
      <w:start w:val="1"/>
      <w:numFmt w:val="lowerLetter"/>
      <w:lvlText w:val="%2)"/>
      <w:lvlJc w:val="left"/>
      <w:pPr>
        <w:ind w:left="720" w:hanging="360"/>
      </w:pPr>
    </w:lvl>
    <w:lvl w:ilvl="2" w:tplc="6E32E75E">
      <w:start w:val="1"/>
      <w:numFmt w:val="lowerRoman"/>
      <w:lvlText w:val="%3)"/>
      <w:lvlJc w:val="left"/>
      <w:pPr>
        <w:ind w:left="1080" w:hanging="360"/>
      </w:pPr>
    </w:lvl>
    <w:lvl w:ilvl="3" w:tplc="9398A972">
      <w:start w:val="1"/>
      <w:numFmt w:val="decimal"/>
      <w:lvlText w:val="(%4)"/>
      <w:lvlJc w:val="left"/>
      <w:pPr>
        <w:ind w:left="1440" w:hanging="360"/>
      </w:pPr>
    </w:lvl>
    <w:lvl w:ilvl="4" w:tplc="13BED182">
      <w:start w:val="1"/>
      <w:numFmt w:val="lowerLetter"/>
      <w:lvlText w:val="(%5)"/>
      <w:lvlJc w:val="left"/>
      <w:pPr>
        <w:ind w:left="1800" w:hanging="360"/>
      </w:pPr>
    </w:lvl>
    <w:lvl w:ilvl="5" w:tplc="EDC2C432">
      <w:start w:val="1"/>
      <w:numFmt w:val="lowerRoman"/>
      <w:lvlText w:val="(%6)"/>
      <w:lvlJc w:val="left"/>
      <w:pPr>
        <w:ind w:left="2160" w:hanging="360"/>
      </w:pPr>
    </w:lvl>
    <w:lvl w:ilvl="6" w:tplc="611617CE">
      <w:start w:val="1"/>
      <w:numFmt w:val="decimal"/>
      <w:lvlText w:val="%7."/>
      <w:lvlJc w:val="left"/>
      <w:pPr>
        <w:ind w:left="2520" w:hanging="360"/>
      </w:pPr>
    </w:lvl>
    <w:lvl w:ilvl="7" w:tplc="7794096E">
      <w:start w:val="1"/>
      <w:numFmt w:val="lowerLetter"/>
      <w:lvlText w:val="%8."/>
      <w:lvlJc w:val="left"/>
      <w:pPr>
        <w:ind w:left="2880" w:hanging="360"/>
      </w:pPr>
    </w:lvl>
    <w:lvl w:ilvl="8" w:tplc="3F58855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6A423C"/>
    <w:multiLevelType w:val="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672D3D"/>
    <w:multiLevelType w:val="multilevel"/>
    <w:tmpl w:val="593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855AA"/>
    <w:multiLevelType w:val="hybridMultilevel"/>
    <w:tmpl w:val="32F66116"/>
    <w:lvl w:ilvl="0" w:tplc="9B9E7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4A4E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9FCD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B700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3B5CA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6845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D2E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DAC4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E0C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367172B"/>
    <w:multiLevelType w:val="multilevel"/>
    <w:tmpl w:val="7C74F378"/>
    <w:numStyleLink w:val="Style1"/>
  </w:abstractNum>
  <w:abstractNum w:abstractNumId="21" w15:restartNumberingAfterBreak="0">
    <w:nsid w:val="480239D5"/>
    <w:multiLevelType w:val="multilevel"/>
    <w:tmpl w:val="8FC01D90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22" w15:restartNumberingAfterBreak="0">
    <w:nsid w:val="4CA81C0C"/>
    <w:multiLevelType w:val="multilevel"/>
    <w:tmpl w:val="7C74F378"/>
    <w:styleLink w:val="Style1"/>
    <w:lvl w:ilvl="0">
      <w:start w:val="1"/>
      <w:numFmt w:val="upperRoman"/>
      <w:lvlText w:val="%1."/>
      <w:lvlJc w:val="left"/>
      <w:pPr>
        <w:ind w:left="576" w:hanging="576"/>
      </w:pPr>
      <w:rPr>
        <w:rFonts w:hint="default" w:ascii="Cambria" w:hAnsi="Cambria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657B5C72"/>
    <w:multiLevelType w:val="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25" w15:restartNumberingAfterBreak="0">
    <w:nsid w:val="6B3B0890"/>
    <w:multiLevelType w:val="hybridMultilevel"/>
    <w:tmpl w:val="4B542D0C"/>
    <w:lvl w:ilvl="0" w:tplc="8132F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EAC5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52E7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F0A8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8A67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1685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7AED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80F8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EA23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7" w15:restartNumberingAfterBreak="0">
    <w:nsid w:val="733B654E"/>
    <w:multiLevelType w:val="hybridMultilevel"/>
    <w:tmpl w:val="1938BFBE"/>
    <w:lvl w:ilvl="0" w:tplc="7DBC0592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36D5CD0"/>
    <w:multiLevelType w:val="hybridMultilevel"/>
    <w:tmpl w:val="C6F8C4B6"/>
    <w:lvl w:ilvl="0" w:tplc="4B487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99AA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D9C3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04A0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7DC9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ED6F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5E68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874C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704D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28"/>
  </w:num>
  <w:num w:numId="16">
    <w:abstractNumId w:val="22"/>
  </w:num>
  <w:num w:numId="17">
    <w:abstractNumId w:val="20"/>
  </w:num>
  <w:num w:numId="18">
    <w:abstractNumId w:val="15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3"/>
  </w:num>
  <w:num w:numId="26">
    <w:abstractNumId w:val="26"/>
  </w:num>
  <w:num w:numId="27">
    <w:abstractNumId w:val="12"/>
  </w:num>
  <w:num w:numId="28">
    <w:abstractNumId w:val="24"/>
  </w:num>
  <w:num w:numId="29">
    <w:abstractNumId w:val="11"/>
  </w:num>
  <w:num w:numId="30">
    <w:abstractNumId w:val="10"/>
  </w:num>
  <w:num w:numId="31">
    <w:abstractNumId w:val="21"/>
  </w:num>
  <w:num w:numId="32">
    <w:abstractNumId w:val="2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B3"/>
    <w:rsid w:val="00066A3C"/>
    <w:rsid w:val="00090811"/>
    <w:rsid w:val="000A088B"/>
    <w:rsid w:val="000B713B"/>
    <w:rsid w:val="000C609D"/>
    <w:rsid w:val="000E2C2C"/>
    <w:rsid w:val="001063D4"/>
    <w:rsid w:val="00107118"/>
    <w:rsid w:val="001961CB"/>
    <w:rsid w:val="002226E5"/>
    <w:rsid w:val="00252F5E"/>
    <w:rsid w:val="00253D5D"/>
    <w:rsid w:val="002A0DE2"/>
    <w:rsid w:val="002B303B"/>
    <w:rsid w:val="002C23DF"/>
    <w:rsid w:val="002C2CBD"/>
    <w:rsid w:val="002C2D0C"/>
    <w:rsid w:val="002D00D2"/>
    <w:rsid w:val="002F0BF6"/>
    <w:rsid w:val="0030375D"/>
    <w:rsid w:val="00321739"/>
    <w:rsid w:val="0032791F"/>
    <w:rsid w:val="003601A0"/>
    <w:rsid w:val="00362C50"/>
    <w:rsid w:val="0036436D"/>
    <w:rsid w:val="00381461"/>
    <w:rsid w:val="00387810"/>
    <w:rsid w:val="0039705D"/>
    <w:rsid w:val="003C464C"/>
    <w:rsid w:val="004336E1"/>
    <w:rsid w:val="00453E9B"/>
    <w:rsid w:val="00463502"/>
    <w:rsid w:val="004B10B4"/>
    <w:rsid w:val="004C7AF6"/>
    <w:rsid w:val="00502510"/>
    <w:rsid w:val="0050533C"/>
    <w:rsid w:val="00580261"/>
    <w:rsid w:val="005B4FA4"/>
    <w:rsid w:val="00635C57"/>
    <w:rsid w:val="006C0F0F"/>
    <w:rsid w:val="006E71C3"/>
    <w:rsid w:val="00700BFF"/>
    <w:rsid w:val="00766CB4"/>
    <w:rsid w:val="00784E06"/>
    <w:rsid w:val="007A531C"/>
    <w:rsid w:val="007B2EDA"/>
    <w:rsid w:val="007D5D1F"/>
    <w:rsid w:val="007F5677"/>
    <w:rsid w:val="007F5E55"/>
    <w:rsid w:val="00820997"/>
    <w:rsid w:val="008260A9"/>
    <w:rsid w:val="0084614E"/>
    <w:rsid w:val="0086196D"/>
    <w:rsid w:val="0088674A"/>
    <w:rsid w:val="008973C3"/>
    <w:rsid w:val="008B464C"/>
    <w:rsid w:val="00936D4F"/>
    <w:rsid w:val="00971099"/>
    <w:rsid w:val="009A14A4"/>
    <w:rsid w:val="009C1BF6"/>
    <w:rsid w:val="009F028D"/>
    <w:rsid w:val="00A543D3"/>
    <w:rsid w:val="00A650F9"/>
    <w:rsid w:val="00AB0C97"/>
    <w:rsid w:val="00AD4DF1"/>
    <w:rsid w:val="00B17D7F"/>
    <w:rsid w:val="00B22DBA"/>
    <w:rsid w:val="00B259F8"/>
    <w:rsid w:val="00B31870"/>
    <w:rsid w:val="00BA7D7C"/>
    <w:rsid w:val="00C25B90"/>
    <w:rsid w:val="00C63DF7"/>
    <w:rsid w:val="00C7654C"/>
    <w:rsid w:val="00CD75E8"/>
    <w:rsid w:val="00CE6D7B"/>
    <w:rsid w:val="00D01450"/>
    <w:rsid w:val="00D02B89"/>
    <w:rsid w:val="00D073EE"/>
    <w:rsid w:val="00D20284"/>
    <w:rsid w:val="00D2504C"/>
    <w:rsid w:val="00D77EE7"/>
    <w:rsid w:val="00DB2810"/>
    <w:rsid w:val="00DC03F4"/>
    <w:rsid w:val="00E00FC1"/>
    <w:rsid w:val="00E1025E"/>
    <w:rsid w:val="00E477B0"/>
    <w:rsid w:val="00E62FBA"/>
    <w:rsid w:val="00E639C0"/>
    <w:rsid w:val="00E67550"/>
    <w:rsid w:val="00E74816"/>
    <w:rsid w:val="00E8693D"/>
    <w:rsid w:val="00EA44DF"/>
    <w:rsid w:val="00ED020F"/>
    <w:rsid w:val="00EE3071"/>
    <w:rsid w:val="00F04679"/>
    <w:rsid w:val="00F14E3F"/>
    <w:rsid w:val="00F21A79"/>
    <w:rsid w:val="00F331DF"/>
    <w:rsid w:val="00F62C64"/>
    <w:rsid w:val="00FE50A1"/>
    <w:rsid w:val="02AEA461"/>
    <w:rsid w:val="0328C896"/>
    <w:rsid w:val="045FAFE4"/>
    <w:rsid w:val="068851ED"/>
    <w:rsid w:val="06D95E32"/>
    <w:rsid w:val="091DF3EF"/>
    <w:rsid w:val="0A305385"/>
    <w:rsid w:val="0BDBD369"/>
    <w:rsid w:val="0C2C76C2"/>
    <w:rsid w:val="0C4CF9CA"/>
    <w:rsid w:val="0E126F8C"/>
    <w:rsid w:val="0E8D2167"/>
    <w:rsid w:val="0EC9D57B"/>
    <w:rsid w:val="12B3902E"/>
    <w:rsid w:val="143F613B"/>
    <w:rsid w:val="148AACEB"/>
    <w:rsid w:val="15AF60D6"/>
    <w:rsid w:val="1712710B"/>
    <w:rsid w:val="1982ADFA"/>
    <w:rsid w:val="1B723D88"/>
    <w:rsid w:val="1B8EDBC9"/>
    <w:rsid w:val="1C71ACF2"/>
    <w:rsid w:val="1CA2A629"/>
    <w:rsid w:val="1DC162FD"/>
    <w:rsid w:val="2218E593"/>
    <w:rsid w:val="22AA62A7"/>
    <w:rsid w:val="249E50AC"/>
    <w:rsid w:val="251386D6"/>
    <w:rsid w:val="25726F70"/>
    <w:rsid w:val="25F5C70A"/>
    <w:rsid w:val="26423898"/>
    <w:rsid w:val="295C1FA5"/>
    <w:rsid w:val="2A445194"/>
    <w:rsid w:val="2AC4DB7B"/>
    <w:rsid w:val="2AFBB0EB"/>
    <w:rsid w:val="2B17E613"/>
    <w:rsid w:val="2BDD61DB"/>
    <w:rsid w:val="2EF2388E"/>
    <w:rsid w:val="2F76367F"/>
    <w:rsid w:val="2FA1D0B3"/>
    <w:rsid w:val="313E03E3"/>
    <w:rsid w:val="34C2E10B"/>
    <w:rsid w:val="3629194B"/>
    <w:rsid w:val="366E16B4"/>
    <w:rsid w:val="36DA0728"/>
    <w:rsid w:val="39494354"/>
    <w:rsid w:val="39B20949"/>
    <w:rsid w:val="3CF159AA"/>
    <w:rsid w:val="413018AC"/>
    <w:rsid w:val="4195DCCD"/>
    <w:rsid w:val="48C32F49"/>
    <w:rsid w:val="4A782B48"/>
    <w:rsid w:val="4ADCBCB8"/>
    <w:rsid w:val="4B7758F4"/>
    <w:rsid w:val="4C0F1CA1"/>
    <w:rsid w:val="4D4E65A9"/>
    <w:rsid w:val="4D96A06C"/>
    <w:rsid w:val="4EFFFE13"/>
    <w:rsid w:val="52804626"/>
    <w:rsid w:val="54B16A20"/>
    <w:rsid w:val="55BD92D2"/>
    <w:rsid w:val="564D3A81"/>
    <w:rsid w:val="57542972"/>
    <w:rsid w:val="579AEFFB"/>
    <w:rsid w:val="58856C60"/>
    <w:rsid w:val="588B40A9"/>
    <w:rsid w:val="5AC25665"/>
    <w:rsid w:val="5AC25665"/>
    <w:rsid w:val="5B98B584"/>
    <w:rsid w:val="5CCC7197"/>
    <w:rsid w:val="5E1E6B4B"/>
    <w:rsid w:val="5E584C66"/>
    <w:rsid w:val="5EE167D0"/>
    <w:rsid w:val="5EEB0AD2"/>
    <w:rsid w:val="607BC1DC"/>
    <w:rsid w:val="62E6F54E"/>
    <w:rsid w:val="6563107A"/>
    <w:rsid w:val="68087122"/>
    <w:rsid w:val="68E17DC2"/>
    <w:rsid w:val="6A288767"/>
    <w:rsid w:val="6A71B6A8"/>
    <w:rsid w:val="6D10580E"/>
    <w:rsid w:val="6E55E9F2"/>
    <w:rsid w:val="73C7868F"/>
    <w:rsid w:val="75A8F1ED"/>
    <w:rsid w:val="763D1009"/>
    <w:rsid w:val="774E9C0F"/>
    <w:rsid w:val="797A7832"/>
    <w:rsid w:val="7A38DCD0"/>
    <w:rsid w:val="7A9EA881"/>
    <w:rsid w:val="7BE99C3D"/>
    <w:rsid w:val="7C4D2754"/>
    <w:rsid w:val="7D859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60C"/>
  <w15:chartTrackingRefBased/>
  <w15:docId w15:val="{88451ECB-F1DF-40AE-92CB-ABE534D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3" w:semiHidden="1" w:unhideWhenUsed="1" w:qFormat="1"/>
    <w:lsdException w:name="heading 7" w:uiPriority="3" w:semiHidden="1" w:unhideWhenUsed="1" w:qFormat="1"/>
    <w:lsdException w:name="heading 8" w:uiPriority="3" w:semiHidden="1" w:unhideWhenUsed="1" w:qFormat="1"/>
    <w:lsdException w:name="heading 9" w:uiPriority="3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77B0"/>
    <w:pPr>
      <w:spacing w:after="300" w:line="30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eastAsiaTheme="majorEastAs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9"/>
      </w:numPr>
      <w:outlineLvl w:val="1"/>
    </w:pPr>
    <w:rPr>
      <w:rFonts w:eastAsiaTheme="majorEastAs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2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2"/>
      </w:numPr>
      <w:spacing w:after="200"/>
      <w:ind w:left="1512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2"/>
      </w:numPr>
      <w:spacing w:after="200"/>
      <w:ind w:left="180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color="004A67" w:themeColor="accent3" w:themeShade="80" w:sz="24" w:space="6"/>
        <w:bottom w:val="single" w:color="004A67" w:themeColor="accent3" w:themeShade="80" w:sz="24" w:space="6"/>
      </w:pBdr>
      <w:spacing w:after="480"/>
      <w:contextualSpacing/>
      <w:jc w:val="center"/>
    </w:pPr>
    <w:rPr>
      <w:rFonts w:asciiTheme="majorHAnsi" w:hAnsiTheme="majorHAnsi" w:eastAsiaTheme="majorEastAsia" w:cstheme="majorBidi"/>
      <w:color w:val="8A0050" w:themeColor="accent1"/>
      <w:kern w:val="28"/>
      <w:sz w:val="32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BA7D7C"/>
    <w:rPr>
      <w:rFonts w:asciiTheme="majorHAnsi" w:hAnsiTheme="majorHAnsi" w:eastAsiaTheme="majorEastAsia" w:cstheme="majorBidi"/>
      <w:color w:val="8A0050" w:themeColor="accent1"/>
      <w:kern w:val="28"/>
      <w:sz w:val="32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D02B89"/>
    <w:rPr>
      <w:rFonts w:ascii="Cambria" w:hAnsi="Cambria" w:eastAsiaTheme="majorEastAsia" w:cstheme="majorBidi"/>
      <w:b/>
      <w:sz w:val="28"/>
    </w:rPr>
  </w:style>
  <w:style w:type="character" w:styleId="Heading3Char" w:customStyle="1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color="6D7F91" w:themeColor="accent2" w:themeShade="BF" w:sz="36" w:space="0"/>
        <w:bottom w:val="single" w:color="6D7F91" w:themeColor="accent2" w:themeShade="BF" w:sz="2" w:space="0"/>
      </w:tblBorders>
    </w:tblPr>
    <w:trPr>
      <w:jc w:val="center"/>
    </w:trPr>
  </w:style>
  <w:style w:type="table" w:styleId="FormTable" w:customStyle="1">
    <w:name w:val="Form Table"/>
    <w:basedOn w:val="TableNormal"/>
    <w:uiPriority w:val="99"/>
    <w:rsid w:val="00453E9B"/>
    <w:pPr>
      <w:spacing w:after="360"/>
    </w:pPr>
    <w:tblPr>
      <w:tblBorders>
        <w:bottom w:val="single" w:color="6D7F91" w:themeColor="accent2" w:themeShade="BF" w:sz="2" w:space="0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styleId="Heading1Char" w:customStyle="1">
    <w:name w:val="Heading 1 Char"/>
    <w:basedOn w:val="DefaultParagraphFont"/>
    <w:link w:val="Heading1"/>
    <w:uiPriority w:val="3"/>
    <w:rsid w:val="003C464C"/>
    <w:rPr>
      <w:rFonts w:ascii="Cambria" w:hAnsi="Cambria" w:eastAsiaTheme="majorEastAs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styleId="Heading5Char" w:customStyle="1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</w:style>
  <w:style w:type="character" w:styleId="BodyTextChar" w:customStyle="1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8A0050" w:themeColor="accent1" w:sz="2" w:space="10" w:shadow="1"/>
        <w:left w:val="single" w:color="8A0050" w:themeColor="accent1" w:sz="2" w:space="10" w:shadow="1"/>
        <w:bottom w:val="single" w:color="8A0050" w:themeColor="accent1" w:sz="2" w:space="10" w:shadow="1"/>
        <w:right w:val="single" w:color="8A0050" w:themeColor="accent1" w:sz="2" w:space="10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002F" w:themeColor="accent1" w:themeShade="99" w:sz="4" w:space="0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2" w:themeShade="99" w:sz="4" w:space="0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ABF" w:themeColor="accent1" w:themeTint="66" w:sz="4" w:space="0"/>
        <w:left w:val="single" w:color="FF6ABF" w:themeColor="accent1" w:themeTint="66" w:sz="4" w:space="0"/>
        <w:bottom w:val="single" w:color="FF6ABF" w:themeColor="accent1" w:themeTint="66" w:sz="4" w:space="0"/>
        <w:right w:val="single" w:color="FF6ABF" w:themeColor="accent1" w:themeTint="66" w:sz="4" w:space="0"/>
        <w:insideH w:val="single" w:color="FF6ABF" w:themeColor="accent1" w:themeTint="66" w:sz="4" w:space="0"/>
        <w:insideV w:val="single" w:color="FF6AB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CE1" w:themeColor="accent2" w:themeTint="66" w:sz="4" w:space="0"/>
        <w:left w:val="single" w:color="D8DCE1" w:themeColor="accent2" w:themeTint="66" w:sz="4" w:space="0"/>
        <w:bottom w:val="single" w:color="D8DCE1" w:themeColor="accent2" w:themeTint="66" w:sz="4" w:space="0"/>
        <w:right w:val="single" w:color="D8DCE1" w:themeColor="accent2" w:themeTint="66" w:sz="4" w:space="0"/>
        <w:insideH w:val="single" w:color="D8DCE1" w:themeColor="accent2" w:themeTint="66" w:sz="4" w:space="0"/>
        <w:insideV w:val="single" w:color="D8DCE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2" w:space="0"/>
        <w:bottom w:val="single" w:color="FF1FA0" w:themeColor="accent1" w:themeTint="99" w:sz="2" w:space="0"/>
        <w:insideH w:val="single" w:color="FF1FA0" w:themeColor="accent1" w:themeTint="99" w:sz="2" w:space="0"/>
        <w:insideV w:val="single" w:color="FF1FA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1FA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2" w:space="0"/>
        <w:bottom w:val="single" w:color="C4CBD3" w:themeColor="accent2" w:themeTint="99" w:sz="2" w:space="0"/>
        <w:insideH w:val="single" w:color="C4CBD3" w:themeColor="accent2" w:themeTint="99" w:sz="2" w:space="0"/>
        <w:insideV w:val="single" w:color="C4CBD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8A0050" w:themeColor="accent1" w:sz="4" w:space="10"/>
        <w:bottom w:val="single" w:color="8A0050" w:themeColor="accent1" w:sz="4" w:space="10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1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1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1FA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bottom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bottom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0050" w:themeColor="accent1" w:sz="4" w:space="0"/>
          <w:right w:val="single" w:color="8A0050" w:themeColor="accent1" w:sz="4" w:space="0"/>
        </w:tcBorders>
      </w:tcPr>
    </w:tblStylePr>
    <w:tblStylePr w:type="band1Horz">
      <w:tblPr/>
      <w:tcPr>
        <w:tcBorders>
          <w:top w:val="single" w:color="8A0050" w:themeColor="accent1" w:sz="4" w:space="0"/>
          <w:bottom w:val="single" w:color="8A00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0050" w:themeColor="accent1" w:sz="4" w:space="0"/>
          <w:left w:val="nil"/>
        </w:tcBorders>
      </w:tcPr>
    </w:tblStylePr>
    <w:tblStylePr w:type="swCell">
      <w:tblPr/>
      <w:tcPr>
        <w:tcBorders>
          <w:top w:val="double" w:color="8A005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2" w:sz="4" w:space="0"/>
          <w:right w:val="single" w:color="9EAAB6" w:themeColor="accent2" w:sz="4" w:space="0"/>
        </w:tcBorders>
      </w:tcPr>
    </w:tblStylePr>
    <w:tblStylePr w:type="band1Horz">
      <w:tblPr/>
      <w:tcPr>
        <w:tcBorders>
          <w:top w:val="single" w:color="9EAAB6" w:themeColor="accent2" w:sz="4" w:space="0"/>
          <w:bottom w:val="single" w:color="9EAAB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2" w:sz="4" w:space="0"/>
          <w:left w:val="nil"/>
        </w:tcBorders>
      </w:tcPr>
    </w:tblStylePr>
    <w:tblStylePr w:type="swCell">
      <w:tblPr/>
      <w:tcPr>
        <w:tcBorders>
          <w:top w:val="double" w:color="9EAAB6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0050" w:themeColor="accent1" w:sz="24" w:space="0"/>
        <w:left w:val="single" w:color="8A0050" w:themeColor="accent1" w:sz="24" w:space="0"/>
        <w:bottom w:val="single" w:color="8A0050" w:themeColor="accent1" w:sz="24" w:space="0"/>
        <w:right w:val="single" w:color="8A0050" w:themeColor="accent1" w:sz="24" w:space="0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24" w:space="0"/>
        <w:bottom w:val="single" w:color="9EAAB6" w:themeColor="accent2" w:sz="24" w:space="0"/>
        <w:right w:val="single" w:color="9EAAB6" w:themeColor="accent2" w:sz="24" w:space="0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4" w:space="0"/>
        <w:bottom w:val="single" w:color="8A005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005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4" w:space="0"/>
        <w:bottom w:val="single" w:color="9EAAB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005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005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005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005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  <w:insideV w:val="single" w:color="E70085" w:themeColor="accent1" w:themeTint="BF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008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  <w:insideV w:val="single" w:color="B6BFC8" w:themeColor="accent2" w:themeTint="BF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color="8A0050" w:themeColor="accent1" w:sz="6" w:space="0"/>
          <w:insideV w:val="single" w:color="8A0050" w:themeColor="accent1" w:sz="6" w:space="0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color="9EAAB6" w:themeColor="accent2" w:sz="6" w:space="0"/>
          <w:insideV w:val="single" w:color="9EAAB6" w:themeColor="accent2" w:sz="6" w:space="0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0050" w:themeColor="accen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2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005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005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005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0085" w:themeColor="accent1" w:themeTint="BF" w:sz="8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0085" w:themeColor="accent1" w:themeTint="BF" w:sz="6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2" w:themeTint="BF" w:sz="8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2" w:themeTint="BF" w:sz="6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styleId="MeetingNotes" w:customStyle="1">
    <w:name w:val="Meeting Notes"/>
    <w:basedOn w:val="Normal"/>
    <w:rsid w:val="00321739"/>
    <w:pPr>
      <w:spacing w:after="120"/>
      <w:ind w:left="432"/>
    </w:pPr>
    <w:rPr>
      <w:rFonts w:ascii="Georgia" w:hAnsi="Georgia" w:eastAsia="Times New Roman" w:cs="Times New Roman"/>
      <w:color w:val="C00000"/>
      <w:szCs w:val="24"/>
      <w:lang w:eastAsia="en-US"/>
    </w:rPr>
  </w:style>
  <w:style w:type="paragraph" w:styleId="MeetingDetails" w:customStyle="1">
    <w:name w:val="Meeting Details"/>
    <w:basedOn w:val="Normal"/>
    <w:qFormat/>
    <w:rsid w:val="00BA7D7C"/>
    <w:pPr>
      <w:spacing w:after="12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styleId="Style1" w:customStyle="1">
    <w:name w:val="Style1"/>
    <w:uiPriority w:val="99"/>
    <w:rsid w:val="00D073EE"/>
    <w:pPr>
      <w:numPr>
        <w:numId w:val="16"/>
      </w:numPr>
    </w:pPr>
  </w:style>
  <w:style w:type="paragraph" w:styleId="paragraph" w:customStyle="1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Cs w:val="24"/>
      <w:lang w:eastAsia="en-US"/>
    </w:rPr>
  </w:style>
  <w:style w:type="character" w:styleId="normaltextrun" w:customStyle="1">
    <w:name w:val="normaltextrun"/>
    <w:basedOn w:val="DefaultParagraphFont"/>
    <w:rsid w:val="0084614E"/>
  </w:style>
  <w:style w:type="character" w:styleId="eop" w:customStyle="1">
    <w:name w:val="eop"/>
    <w:basedOn w:val="DefaultParagraphFont"/>
    <w:rsid w:val="0084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teams.microsoft.com/l/meetup-join/19%3ameeting_MjZjNmYzNmQtNDgwMy00ZGEyLWE0OGMtYjE5ZTg5OGY5NzAw%40thread.v2/0?context=%7b%22Tid%22%3a%22fe7d3f4f-241b-4af1-84aa-32c57fe9db03%22%2c%22Oid%22%3a%223e30b767-dfe2-4a56-96ed-5a15915ce52a%22%2c%22IsBroadcastMeeting%22%3atrue%7d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1/relationships/people" Target="/word/people.xml" Id="R60cedee1c2dd4854" /><Relationship Type="http://schemas.microsoft.com/office/2011/relationships/commentsExtended" Target="/word/commentsExtended.xml" Id="Re99ee9b8c4b4424f" /><Relationship Type="http://schemas.microsoft.com/office/2016/09/relationships/commentsIds" Target="/word/commentsIds.xml" Id="R8510a1d4fb0e4f82" /><Relationship Type="http://schemas.openxmlformats.org/officeDocument/2006/relationships/hyperlink" Target="https://twc.texas.gov/files/policy_letters/ael-01-21-ch1-twc.pdf" TargetMode="External" Id="R7bc56e2883ff4317" 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2021-03-11T06:00:00+00:00</Date>
    <MeetingDate xmlns="58e7f5ae-d4a4-4f87-b757-e72860b046a8">2021-03-11T06:00:00+00:00</MeetingDate>
    <Project xmlns="58e7f5ae-d4a4-4f87-b757-e72860b046a8">Bi-Weekly Call</Project>
    <Category xmlns="58e7f5ae-d4a4-4f87-b757-e72860b046a8">Agenda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58e7f5ae-d4a4-4f87-b757-e72860b046a8"/>
    <ds:schemaRef ds:uri="http://schemas.microsoft.com/office/infopath/2007/PartnerControls"/>
    <ds:schemaRef ds:uri="http://purl.org/dc/terms/"/>
    <ds:schemaRef ds:uri="35625ac7-1bfd-4a7f-9a7f-d13086bfa74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397A38-610C-410D-9EE5-25F745D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Zachmann,Alaina</dc:creator>
  <keywords/>
  <dc:description/>
  <lastModifiedBy>Zachmann,Alaina</lastModifiedBy>
  <revision>49</revision>
  <dcterms:created xsi:type="dcterms:W3CDTF">2021-03-08T15:16:00.0000000Z</dcterms:created>
  <dcterms:modified xsi:type="dcterms:W3CDTF">2021-03-25T13:49:37.0548646Z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