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88EA" w14:textId="77777777" w:rsidR="000A137C" w:rsidRPr="00240B63" w:rsidRDefault="000A137C" w:rsidP="00C34EF9">
      <w:pPr>
        <w:spacing w:after="120"/>
        <w:rPr>
          <w:b/>
          <w:bCs/>
        </w:rPr>
      </w:pPr>
      <w:bookmarkStart w:id="0" w:name="_GoBack"/>
      <w:bookmarkEnd w:id="0"/>
      <w:r w:rsidRPr="00240B63">
        <w:rPr>
          <w:b/>
          <w:bCs/>
        </w:rPr>
        <w:t>INTRODUCTION</w:t>
      </w:r>
    </w:p>
    <w:p w14:paraId="45B459F7" w14:textId="51526322" w:rsidR="000A137C" w:rsidRDefault="000A137C" w:rsidP="00C34EF9">
      <w:pPr>
        <w:spacing w:after="120"/>
      </w:pPr>
      <w:r>
        <w:t>As Mahalia has mentioned on the bi-weekly calls, we are ready to begin the negotiation process for the AEL Participants Served Targets. As was the case last year, we are negotiating targets for Total Participants (12+ Hours, unduplicate students) and 4 subpopulations/programs:</w:t>
      </w:r>
    </w:p>
    <w:p w14:paraId="32EC3438" w14:textId="77777777" w:rsidR="000A137C" w:rsidRDefault="000A137C" w:rsidP="00C34EF9">
      <w:pPr>
        <w:spacing w:after="120"/>
      </w:pPr>
      <w:r>
        <w:t>1)</w:t>
      </w:r>
      <w:r>
        <w:tab/>
        <w:t>EL Civics (ELC)</w:t>
      </w:r>
    </w:p>
    <w:p w14:paraId="2A9C19DE" w14:textId="77777777" w:rsidR="000A137C" w:rsidRDefault="000A137C" w:rsidP="00C34EF9">
      <w:pPr>
        <w:spacing w:after="120"/>
      </w:pPr>
      <w:r>
        <w:t>2)</w:t>
      </w:r>
      <w:r>
        <w:tab/>
        <w:t>Integrated Education and Training EL Civics (ELC-IET)</w:t>
      </w:r>
    </w:p>
    <w:p w14:paraId="4199251A" w14:textId="77777777" w:rsidR="000A137C" w:rsidRDefault="000A137C" w:rsidP="00C34EF9">
      <w:pPr>
        <w:spacing w:after="120"/>
      </w:pPr>
      <w:r>
        <w:t>3)</w:t>
      </w:r>
      <w:r>
        <w:tab/>
        <w:t>Intensive Services (Intensive)</w:t>
      </w:r>
    </w:p>
    <w:p w14:paraId="2B312CEA" w14:textId="77777777" w:rsidR="000A137C" w:rsidRDefault="000A137C" w:rsidP="00C34EF9">
      <w:pPr>
        <w:spacing w:after="120"/>
      </w:pPr>
      <w:r>
        <w:t>4)</w:t>
      </w:r>
      <w:r>
        <w:tab/>
        <w:t>Non-EL Civics Integrated Education and Training (non-ELC-IET)</w:t>
      </w:r>
    </w:p>
    <w:p w14:paraId="09443DB2" w14:textId="4C1E9D82" w:rsidR="000A137C" w:rsidRDefault="000A137C" w:rsidP="00C34EF9">
      <w:pPr>
        <w:spacing w:after="120"/>
      </w:pPr>
      <w:r>
        <w:t xml:space="preserve">If you have a problem with the tool (i.e. it doesn’t work) </w:t>
      </w:r>
      <w:r w:rsidR="00C720E6">
        <w:t xml:space="preserve">please </w:t>
      </w:r>
      <w:r>
        <w:t>reply to</w:t>
      </w:r>
      <w:r w:rsidR="00C720E6">
        <w:t xml:space="preserve"> me at</w:t>
      </w:r>
      <w:r>
        <w:t xml:space="preserve"> Adam.Leonard@TWC.state.tx.us. </w:t>
      </w:r>
    </w:p>
    <w:p w14:paraId="7A23486C" w14:textId="735957D3" w:rsidR="000A137C" w:rsidRDefault="000A137C" w:rsidP="00C34EF9">
      <w:pPr>
        <w:spacing w:after="120"/>
      </w:pPr>
      <w:r>
        <w:t xml:space="preserve">If everything works, </w:t>
      </w:r>
      <w:r w:rsidR="00C720E6">
        <w:t xml:space="preserve">please review our proposals, follow the instructions and then send a copy of the </w:t>
      </w:r>
      <w:r>
        <w:t xml:space="preserve">filled out target tool to </w:t>
      </w:r>
      <w:hyperlink r:id="rId8" w:history="1">
        <w:r w:rsidRPr="00275FB6">
          <w:rPr>
            <w:rStyle w:val="Hyperlink"/>
          </w:rPr>
          <w:t>Freda.Jackson@TWC.state.tx.us</w:t>
        </w:r>
      </w:hyperlink>
      <w:r>
        <w:t>, copy your assigned Program Specialist</w:t>
      </w:r>
      <w:r w:rsidR="00C91857">
        <w:t xml:space="preserve"> and Mahalia Baldini</w:t>
      </w:r>
      <w:r>
        <w:t>.  Freda will consolidate responses and then</w:t>
      </w:r>
      <w:r w:rsidR="00C720E6">
        <w:t xml:space="preserve"> the Division of Operational Insight </w:t>
      </w:r>
      <w:r w:rsidR="00240B63">
        <w:t xml:space="preserve">(DOI) </w:t>
      </w:r>
      <w:r w:rsidR="00C720E6">
        <w:t xml:space="preserve">staff who work with the AEL data will meet with </w:t>
      </w:r>
      <w:r>
        <w:t>Mahalia</w:t>
      </w:r>
      <w:r w:rsidR="00C720E6">
        <w:t xml:space="preserve"> and AEL/WDD leadership to review any counter proposals and work to finalize recommendations</w:t>
      </w:r>
      <w:r>
        <w:t>.</w:t>
      </w:r>
    </w:p>
    <w:p w14:paraId="3BB1482E" w14:textId="267B3B5E" w:rsidR="00C720E6" w:rsidRPr="00C720E6" w:rsidRDefault="00240B63" w:rsidP="00C34EF9">
      <w:pPr>
        <w:spacing w:after="120"/>
        <w:rPr>
          <w:b/>
          <w:bCs/>
        </w:rPr>
      </w:pPr>
      <w:r>
        <w:rPr>
          <w:b/>
          <w:bCs/>
        </w:rPr>
        <w:t>DIFFERENT TIMES, DIFFERENT ASSUMPTIONS</w:t>
      </w:r>
    </w:p>
    <w:p w14:paraId="780C8DA5" w14:textId="489EEA6A" w:rsidR="00C720E6" w:rsidRDefault="00C720E6" w:rsidP="00C34EF9">
      <w:pPr>
        <w:spacing w:after="120"/>
      </w:pPr>
      <w:r>
        <w:t>There are many similarities to the target setting process from last year</w:t>
      </w:r>
      <w:r w:rsidR="00406674">
        <w:t xml:space="preserve"> but also a few differences which will be highlighted below.  The tool itself is identical but updated with new allocations amounts and some adjusted assumptions around costs and case mix outlined below.</w:t>
      </w:r>
    </w:p>
    <w:p w14:paraId="59DFD91B" w14:textId="0F7889A7" w:rsidR="0002429D" w:rsidRDefault="0002429D" w:rsidP="00C34EF9">
      <w:pPr>
        <w:pStyle w:val="ListParagraph"/>
        <w:numPr>
          <w:ilvl w:val="0"/>
          <w:numId w:val="1"/>
        </w:numPr>
        <w:spacing w:after="120"/>
        <w:rPr>
          <w:rFonts w:eastAsia="Times New Roman"/>
        </w:rPr>
      </w:pPr>
      <w:r>
        <w:rPr>
          <w:rFonts w:eastAsia="Times New Roman"/>
        </w:rPr>
        <w:t>The Legislature/Governor approve Participant Served targets based on an assumed set of costs and mix of Participants between Basic, Intensive, and IET programs</w:t>
      </w:r>
      <w:r w:rsidR="00406674">
        <w:rPr>
          <w:rFonts w:eastAsia="Times New Roman"/>
        </w:rPr>
        <w:t xml:space="preserve"> which were set during the 2019 Legislative Session.  However, in preparation to the upcoming 2021 session, TWC reexamined the AEL programs and some of our assumptions and goals.</w:t>
      </w:r>
    </w:p>
    <w:p w14:paraId="1E45758E" w14:textId="50220E59" w:rsidR="00406674" w:rsidRDefault="00406674" w:rsidP="00C34EF9">
      <w:pPr>
        <w:pStyle w:val="ListParagraph"/>
        <w:numPr>
          <w:ilvl w:val="1"/>
          <w:numId w:val="1"/>
        </w:numPr>
        <w:spacing w:after="120"/>
        <w:rPr>
          <w:rFonts w:eastAsia="Times New Roman"/>
        </w:rPr>
      </w:pPr>
      <w:r>
        <w:rPr>
          <w:rFonts w:eastAsia="Times New Roman"/>
        </w:rPr>
        <w:t>We have been monitoring AEL Training Expenditures (i.e. grantee spending on Training vs. education) and found that our original assumptions for how much extra we should assume that Intensive and Integrated Education and Training cost compared to a purely traditional AEL education (i.e., what we refer to as “Basic”).</w:t>
      </w:r>
    </w:p>
    <w:p w14:paraId="458D51B6" w14:textId="470FDFFA" w:rsidR="00406674" w:rsidRDefault="00406674" w:rsidP="00C34EF9">
      <w:pPr>
        <w:pStyle w:val="ListParagraph"/>
        <w:numPr>
          <w:ilvl w:val="1"/>
          <w:numId w:val="1"/>
        </w:numPr>
        <w:spacing w:after="120"/>
        <w:rPr>
          <w:rFonts w:eastAsia="Times New Roman"/>
        </w:rPr>
      </w:pPr>
      <w:r>
        <w:rPr>
          <w:rFonts w:eastAsia="Times New Roman"/>
        </w:rPr>
        <w:t xml:space="preserve">Our dialogue with you at statewide leadership meetings and in various calls and other forums, caused us to reconsider the quality/quantity balance in earlier </w:t>
      </w:r>
      <w:r w:rsidR="009E3572">
        <w:rPr>
          <w:rFonts w:eastAsia="Times New Roman"/>
        </w:rPr>
        <w:t xml:space="preserve">program goals.  </w:t>
      </w:r>
    </w:p>
    <w:p w14:paraId="47105DED" w14:textId="0AE59168" w:rsidR="009E3572" w:rsidRDefault="009E3572" w:rsidP="00C34EF9">
      <w:pPr>
        <w:pStyle w:val="ListParagraph"/>
        <w:numPr>
          <w:ilvl w:val="1"/>
          <w:numId w:val="1"/>
        </w:numPr>
        <w:spacing w:after="120"/>
        <w:rPr>
          <w:rFonts w:eastAsia="Times New Roman"/>
        </w:rPr>
      </w:pPr>
      <w:r>
        <w:rPr>
          <w:rFonts w:eastAsia="Times New Roman"/>
        </w:rPr>
        <w:t>The COVID-19 pandemic created a unique opportunity for the system and you to rethink the program and the priorities to try to emphasize quality both in terms of program offerings and in terms of program administration and data gathering</w:t>
      </w:r>
      <w:r w:rsidR="00240B63">
        <w:rPr>
          <w:rFonts w:eastAsia="Times New Roman"/>
        </w:rPr>
        <w:t xml:space="preserve"> (not everyone has an SSN but we need to attempt to record it for anybody we serve who does in order to improve reportable outcomes), </w:t>
      </w:r>
      <w:r>
        <w:rPr>
          <w:rFonts w:eastAsia="Times New Roman"/>
        </w:rPr>
        <w:t xml:space="preserve"> to be able to more evaluate the impact that the program has on our students.  It creates the opportunity because there is lower demand, because it has accelerated distance learning development (tools and teaching techniques) and there a lot more people who could benefit from AEL program participation who currently are not working and who can thus perhaps concentrate more on program participation.</w:t>
      </w:r>
    </w:p>
    <w:p w14:paraId="6B71EBC9" w14:textId="76D2B5FD" w:rsidR="009E3572" w:rsidRDefault="009E3572" w:rsidP="00C34EF9">
      <w:pPr>
        <w:pStyle w:val="ListParagraph"/>
        <w:spacing w:after="120"/>
      </w:pPr>
      <w:r>
        <w:t>What you will see is that TWC has made several changes in our approach to targets setting for PY20 that provide more money for improving quality and providing space to improve engagement and outcomes. We laid out this new vision through our Legislative Appropriation request which assumes Basically, TWC is proposing that grantees serve under fewer students at a higher cost per</w:t>
      </w:r>
      <w:r w:rsidR="00C34EF9">
        <w:t xml:space="preserve"> student (29% higher) than what was previously approved by the Legislature/Governor in order to support these program improvement goals.</w:t>
      </w:r>
    </w:p>
    <w:p w14:paraId="5D1C2B46" w14:textId="77777777" w:rsidR="00C34EF9" w:rsidRDefault="00C34EF9" w:rsidP="00C34EF9">
      <w:pPr>
        <w:pStyle w:val="ListParagraph"/>
        <w:numPr>
          <w:ilvl w:val="0"/>
          <w:numId w:val="1"/>
        </w:numPr>
        <w:spacing w:after="120"/>
        <w:rPr>
          <w:rFonts w:eastAsia="Times New Roman"/>
        </w:rPr>
      </w:pPr>
      <w:r>
        <w:rPr>
          <w:rFonts w:eastAsia="Times New Roman"/>
        </w:rPr>
        <w:t xml:space="preserve">The second major change we have made in target setting this year is that for PY20 we are recommending that we NOT assign targets to carryforward funds.  This envisioned as a short-term change that would provide still more flexibility to grantees to adjust their programs to the new conditions under which we operation and to improve the outcomes we help our students achieve.  Nobody knows what the future will bring when COVID-19 is under control, but what we can assume is that things won’t go back to “2019 normal.”  Some of what we do to adjust to COVID19 – like increased distance learning and modified </w:t>
      </w:r>
      <w:r>
        <w:rPr>
          <w:rFonts w:eastAsia="Times New Roman"/>
        </w:rPr>
        <w:lastRenderedPageBreak/>
        <w:t xml:space="preserve">assessment methodologies will like continue to be used because for some people, they will work better or provide more flexibility that they need to remain engaged in the program.  </w:t>
      </w:r>
    </w:p>
    <w:p w14:paraId="08C8D39E" w14:textId="54E00C8D" w:rsidR="00C34EF9" w:rsidRDefault="00C34EF9" w:rsidP="00C34EF9">
      <w:pPr>
        <w:pStyle w:val="ListParagraph"/>
        <w:spacing w:after="120"/>
        <w:rPr>
          <w:rFonts w:eastAsia="Times New Roman"/>
        </w:rPr>
      </w:pPr>
      <w:r>
        <w:rPr>
          <w:rFonts w:eastAsia="Times New Roman"/>
        </w:rPr>
        <w:t>The waiving of “carryforward targets” this year is a short-term shift in strategy that w</w:t>
      </w:r>
      <w:r w:rsidR="00240B63">
        <w:rPr>
          <w:rFonts w:eastAsia="Times New Roman"/>
        </w:rPr>
        <w:t>ill not become permanent. That is, in the future, we will revert back to applying targets on unspent amounts from the prior year except in those instances where grantee met performance requirements without spending all of their money (which is how we applied this policy in prior years).</w:t>
      </w:r>
    </w:p>
    <w:p w14:paraId="324E7363" w14:textId="41CDECA6" w:rsidR="007936EF" w:rsidRDefault="007936EF" w:rsidP="007936EF">
      <w:pPr>
        <w:pStyle w:val="ListParagraph"/>
        <w:numPr>
          <w:ilvl w:val="0"/>
          <w:numId w:val="1"/>
        </w:numPr>
        <w:spacing w:after="120"/>
        <w:rPr>
          <w:rFonts w:eastAsia="Times New Roman"/>
        </w:rPr>
      </w:pPr>
      <w:r>
        <w:rPr>
          <w:rFonts w:eastAsia="Times New Roman"/>
        </w:rPr>
        <w:t xml:space="preserve">Finally, we have </w:t>
      </w:r>
      <w:r w:rsidR="007E212B">
        <w:rPr>
          <w:rFonts w:eastAsia="Times New Roman"/>
        </w:rPr>
        <w:t xml:space="preserve">reset expectations around the ELC-Basic and ELC-IET ratio.  For many years, we have set the 2 numbers initially as equal (half basic, half IET).  This year we are making our proposals such that ELC-IET is a lower percentage of overall ELC in order to provide more flexibility and to ensure that access to IET is consistent across the ELC and non-ELC programs.  As always, you will be able to propose alternative targets that </w:t>
      </w:r>
      <w:r w:rsidR="00395816">
        <w:rPr>
          <w:rFonts w:eastAsia="Times New Roman"/>
        </w:rPr>
        <w:t>change these ratios during the negotiation process described below.</w:t>
      </w:r>
    </w:p>
    <w:p w14:paraId="2F309C4F" w14:textId="577C4902" w:rsidR="00240B63" w:rsidRPr="00240B63" w:rsidRDefault="00240B63" w:rsidP="00240B63">
      <w:pPr>
        <w:spacing w:after="120"/>
        <w:rPr>
          <w:rFonts w:eastAsia="Times New Roman"/>
        </w:rPr>
      </w:pPr>
      <w:r>
        <w:rPr>
          <w:b/>
          <w:bCs/>
        </w:rPr>
        <w:t>NEGOTIATION PROCESS/TOOL</w:t>
      </w:r>
    </w:p>
    <w:p w14:paraId="315F1463" w14:textId="0751BCD8" w:rsidR="0002429D" w:rsidRDefault="0002429D" w:rsidP="00240B63">
      <w:pPr>
        <w:pStyle w:val="ListParagraph"/>
        <w:numPr>
          <w:ilvl w:val="0"/>
          <w:numId w:val="3"/>
        </w:numPr>
        <w:spacing w:after="120"/>
        <w:rPr>
          <w:rFonts w:eastAsia="Times New Roman"/>
        </w:rPr>
      </w:pPr>
      <w:r>
        <w:rPr>
          <w:rFonts w:eastAsia="Times New Roman"/>
        </w:rPr>
        <w:t xml:space="preserve">TWC’s Finance Division prepares a set of allocation recommendations for each grantee based on a standard funding formula </w:t>
      </w:r>
    </w:p>
    <w:p w14:paraId="279DDF20" w14:textId="551134D9" w:rsidR="0002429D" w:rsidRDefault="0002429D" w:rsidP="00240B63">
      <w:pPr>
        <w:pStyle w:val="ListParagraph"/>
        <w:numPr>
          <w:ilvl w:val="1"/>
          <w:numId w:val="3"/>
        </w:numPr>
        <w:spacing w:after="120"/>
        <w:rPr>
          <w:rFonts w:eastAsia="Times New Roman"/>
        </w:rPr>
      </w:pPr>
      <w:r>
        <w:rPr>
          <w:rFonts w:eastAsia="Times New Roman"/>
        </w:rPr>
        <w:t xml:space="preserve">There are assumed subsets of funding in there such as Performance Based Funding (PBF) and Professional Development Funding (PDF). </w:t>
      </w:r>
      <w:r w:rsidR="00240B63">
        <w:rPr>
          <w:rFonts w:eastAsia="Times New Roman"/>
        </w:rPr>
        <w:t xml:space="preserve">We have also continued accounting for </w:t>
      </w:r>
      <w:r>
        <w:rPr>
          <w:rFonts w:eastAsia="Times New Roman"/>
        </w:rPr>
        <w:t xml:space="preserve">“Administrative” </w:t>
      </w:r>
      <w:r w:rsidR="00240B63">
        <w:rPr>
          <w:rFonts w:eastAsia="Times New Roman"/>
        </w:rPr>
        <w:t xml:space="preserve">expenses – a feature introduced for the </w:t>
      </w:r>
      <w:proofErr w:type="gramStart"/>
      <w:r w:rsidR="00240B63">
        <w:rPr>
          <w:rFonts w:eastAsia="Times New Roman"/>
        </w:rPr>
        <w:t>first</w:t>
      </w:r>
      <w:r w:rsidR="00395816">
        <w:rPr>
          <w:rFonts w:eastAsia="Times New Roman"/>
        </w:rPr>
        <w:t xml:space="preserve"> </w:t>
      </w:r>
      <w:r w:rsidR="00240B63">
        <w:rPr>
          <w:rFonts w:eastAsia="Times New Roman"/>
        </w:rPr>
        <w:t>time</w:t>
      </w:r>
      <w:proofErr w:type="gramEnd"/>
      <w:r w:rsidR="00240B63">
        <w:rPr>
          <w:rFonts w:eastAsia="Times New Roman"/>
        </w:rPr>
        <w:t xml:space="preserve"> last year</w:t>
      </w:r>
      <w:r>
        <w:rPr>
          <w:rFonts w:eastAsia="Times New Roman"/>
        </w:rPr>
        <w:t xml:space="preserve">. </w:t>
      </w:r>
      <w:r w:rsidR="00240B63">
        <w:rPr>
          <w:rFonts w:eastAsia="Times New Roman"/>
        </w:rPr>
        <w:t xml:space="preserve"> These</w:t>
      </w:r>
      <w:r w:rsidR="00395816">
        <w:rPr>
          <w:rFonts w:eastAsia="Times New Roman"/>
        </w:rPr>
        <w:t xml:space="preserve"> </w:t>
      </w:r>
      <w:r w:rsidR="00240B63">
        <w:rPr>
          <w:rFonts w:eastAsia="Times New Roman"/>
        </w:rPr>
        <w:t>amounts are all “carved out” of the target setting.</w:t>
      </w:r>
    </w:p>
    <w:p w14:paraId="6E859B33" w14:textId="77777777" w:rsidR="0002429D" w:rsidRDefault="0002429D" w:rsidP="00240B63">
      <w:pPr>
        <w:pStyle w:val="ListParagraph"/>
        <w:numPr>
          <w:ilvl w:val="1"/>
          <w:numId w:val="3"/>
        </w:numPr>
        <w:spacing w:after="120"/>
        <w:rPr>
          <w:rFonts w:eastAsia="Times New Roman"/>
        </w:rPr>
      </w:pPr>
      <w:r>
        <w:rPr>
          <w:rFonts w:eastAsia="Times New Roman"/>
        </w:rPr>
        <w:t>The key amounts for target setting are:</w:t>
      </w:r>
    </w:p>
    <w:p w14:paraId="169FE5CC" w14:textId="77777777" w:rsidR="0002429D" w:rsidRDefault="0002429D" w:rsidP="00240B63">
      <w:pPr>
        <w:pStyle w:val="ListParagraph"/>
        <w:numPr>
          <w:ilvl w:val="2"/>
          <w:numId w:val="3"/>
        </w:numPr>
        <w:spacing w:after="120"/>
      </w:pPr>
      <w:r>
        <w:t>Total AEL-ELC funds to be “allocated to targets” (basically total allocation minus the PBF, PDF, and Admin)</w:t>
      </w:r>
    </w:p>
    <w:p w14:paraId="0F3F76BD" w14:textId="77777777" w:rsidR="0002429D" w:rsidRDefault="0002429D" w:rsidP="00240B63">
      <w:pPr>
        <w:pStyle w:val="ListParagraph"/>
        <w:numPr>
          <w:ilvl w:val="2"/>
          <w:numId w:val="3"/>
        </w:numPr>
        <w:spacing w:after="120"/>
      </w:pPr>
      <w:r>
        <w:t xml:space="preserve">Total Allocated to EL Civics Targets (the feds give us a specific state allocation for this that we have to ensure is spent on EL Civics you can spend more on </w:t>
      </w:r>
      <w:proofErr w:type="gramStart"/>
      <w:r>
        <w:t>ELC</w:t>
      </w:r>
      <w:proofErr w:type="gramEnd"/>
      <w:r>
        <w:t xml:space="preserve"> but you can’t spend ELC funding on non-ELC services</w:t>
      </w:r>
    </w:p>
    <w:p w14:paraId="10BAE9E9" w14:textId="77777777" w:rsidR="0002429D" w:rsidRDefault="0002429D" w:rsidP="00240B63">
      <w:pPr>
        <w:pStyle w:val="ListParagraph"/>
        <w:numPr>
          <w:ilvl w:val="2"/>
          <w:numId w:val="3"/>
        </w:numPr>
        <w:spacing w:after="120"/>
      </w:pPr>
      <w:r>
        <w:t xml:space="preserve">Amount “Allocated to Career Advancement Targets” – this is </w:t>
      </w:r>
      <w:proofErr w:type="gramStart"/>
      <w:r>
        <w:t>represents</w:t>
      </w:r>
      <w:proofErr w:type="gramEnd"/>
      <w:r>
        <w:t xml:space="preserve"> roughly how much money we expect to be needed to meet the program/participant mix that went into the approved statewide Participants Served targets</w:t>
      </w:r>
    </w:p>
    <w:p w14:paraId="034A5CF0" w14:textId="7799935B" w:rsidR="0002429D" w:rsidRDefault="0002429D" w:rsidP="00240B63">
      <w:pPr>
        <w:pStyle w:val="ListParagraph"/>
        <w:numPr>
          <w:ilvl w:val="0"/>
          <w:numId w:val="3"/>
        </w:numPr>
        <w:spacing w:after="120"/>
        <w:rPr>
          <w:rFonts w:eastAsia="Times New Roman"/>
        </w:rPr>
      </w:pPr>
      <w:r>
        <w:rPr>
          <w:rFonts w:eastAsia="Times New Roman"/>
        </w:rPr>
        <w:t>The Commission approves the allocations</w:t>
      </w:r>
      <w:r w:rsidR="00240B63">
        <w:rPr>
          <w:rFonts w:eastAsia="Times New Roman"/>
        </w:rPr>
        <w:t>.</w:t>
      </w:r>
    </w:p>
    <w:p w14:paraId="56F92B6D" w14:textId="2CED5A21" w:rsidR="0002429D" w:rsidRDefault="0002429D" w:rsidP="00240B63">
      <w:pPr>
        <w:pStyle w:val="ListParagraph"/>
        <w:numPr>
          <w:ilvl w:val="0"/>
          <w:numId w:val="3"/>
        </w:numPr>
        <w:spacing w:after="120"/>
        <w:rPr>
          <w:rFonts w:eastAsia="Times New Roman"/>
        </w:rPr>
      </w:pPr>
      <w:r>
        <w:rPr>
          <w:rFonts w:eastAsia="Times New Roman"/>
        </w:rPr>
        <w:t>DOI develops a set of initial target proposals for each grantee based on the above</w:t>
      </w:r>
      <w:r w:rsidR="00395816">
        <w:rPr>
          <w:rFonts w:eastAsia="Times New Roman"/>
        </w:rPr>
        <w:t xml:space="preserve"> and works with AEL/WDD to ensure that the model meets their goals and priorities for the program which is then documented in an Excel tool</w:t>
      </w:r>
    </w:p>
    <w:p w14:paraId="0A7E98EF" w14:textId="335EC70C" w:rsidR="0002429D" w:rsidRDefault="0002429D" w:rsidP="00240B63">
      <w:pPr>
        <w:pStyle w:val="ListParagraph"/>
        <w:numPr>
          <w:ilvl w:val="0"/>
          <w:numId w:val="3"/>
        </w:numPr>
        <w:spacing w:after="120"/>
        <w:rPr>
          <w:rFonts w:eastAsia="Times New Roman"/>
        </w:rPr>
      </w:pPr>
      <w:r>
        <w:rPr>
          <w:rFonts w:eastAsia="Times New Roman"/>
        </w:rPr>
        <w:t>As last year, the negotiation tool displays our proposed targets for the new year and offers you the chance to request changes.</w:t>
      </w:r>
      <w:r w:rsidR="00395816">
        <w:rPr>
          <w:rFonts w:eastAsia="Times New Roman"/>
        </w:rPr>
        <w:t xml:space="preserve"> The tool has built error checking and feedback on grantee counter proposals.</w:t>
      </w:r>
    </w:p>
    <w:p w14:paraId="4CD651A9" w14:textId="552E0BFE" w:rsidR="0002429D" w:rsidRDefault="0002429D" w:rsidP="00240B63">
      <w:pPr>
        <w:pStyle w:val="ListParagraph"/>
        <w:numPr>
          <w:ilvl w:val="0"/>
          <w:numId w:val="3"/>
        </w:numPr>
        <w:spacing w:after="120"/>
        <w:rPr>
          <w:rFonts w:eastAsia="Times New Roman"/>
        </w:rPr>
      </w:pPr>
      <w:r>
        <w:rPr>
          <w:rFonts w:eastAsia="Times New Roman"/>
        </w:rPr>
        <w:t>Open the Tool and select yourself in cell A3</w:t>
      </w:r>
      <w:r w:rsidR="00240B63">
        <w:rPr>
          <w:rFonts w:eastAsia="Times New Roman"/>
        </w:rPr>
        <w:t xml:space="preserve"> on the 1</w:t>
      </w:r>
      <w:r w:rsidR="00240B63" w:rsidRPr="00240B63">
        <w:rPr>
          <w:rFonts w:eastAsia="Times New Roman"/>
          <w:vertAlign w:val="superscript"/>
        </w:rPr>
        <w:t>st</w:t>
      </w:r>
      <w:r w:rsidR="00240B63">
        <w:rPr>
          <w:rFonts w:eastAsia="Times New Roman"/>
        </w:rPr>
        <w:t xml:space="preserve"> Tab (Negotiations)</w:t>
      </w:r>
    </w:p>
    <w:p w14:paraId="55078FBE" w14:textId="628EED3B" w:rsidR="0002429D" w:rsidRDefault="0002429D" w:rsidP="00240B63">
      <w:pPr>
        <w:pStyle w:val="ListParagraph"/>
        <w:numPr>
          <w:ilvl w:val="1"/>
          <w:numId w:val="3"/>
        </w:numPr>
        <w:spacing w:after="120"/>
        <w:rPr>
          <w:rFonts w:eastAsia="Times New Roman"/>
        </w:rPr>
      </w:pPr>
      <w:r>
        <w:rPr>
          <w:rFonts w:eastAsia="Times New Roman"/>
        </w:rPr>
        <w:t xml:space="preserve">Review the TWC proposals on row 9 </w:t>
      </w:r>
    </w:p>
    <w:p w14:paraId="1E225394" w14:textId="77777777" w:rsidR="0002429D" w:rsidRDefault="0002429D" w:rsidP="00240B63">
      <w:pPr>
        <w:pStyle w:val="ListParagraph"/>
        <w:numPr>
          <w:ilvl w:val="1"/>
          <w:numId w:val="3"/>
        </w:numPr>
        <w:spacing w:after="120"/>
        <w:rPr>
          <w:rFonts w:eastAsia="Times New Roman"/>
        </w:rPr>
      </w:pPr>
      <w:r>
        <w:rPr>
          <w:rFonts w:eastAsia="Times New Roman"/>
        </w:rPr>
        <w:t>Row 10 defaults to match TWC’s proposals</w:t>
      </w:r>
    </w:p>
    <w:p w14:paraId="25ED094B" w14:textId="77777777" w:rsidR="0002429D" w:rsidRDefault="0002429D" w:rsidP="00240B63">
      <w:pPr>
        <w:pStyle w:val="ListParagraph"/>
        <w:numPr>
          <w:ilvl w:val="2"/>
          <w:numId w:val="3"/>
        </w:numPr>
        <w:spacing w:after="120"/>
      </w:pPr>
      <w:r>
        <w:t>If you like the TWC proposed targets, you can just send the tool back in saying you accept the proposals.</w:t>
      </w:r>
    </w:p>
    <w:p w14:paraId="118A4263" w14:textId="1D62AC52" w:rsidR="0002429D" w:rsidRDefault="0002429D" w:rsidP="00240B63">
      <w:pPr>
        <w:pStyle w:val="ListParagraph"/>
        <w:numPr>
          <w:ilvl w:val="2"/>
          <w:numId w:val="3"/>
        </w:numPr>
        <w:spacing w:after="120"/>
      </w:pPr>
      <w:r>
        <w:t>If you want to submit alternate targets, you can do so</w:t>
      </w:r>
      <w:r w:rsidR="00240B63">
        <w:t xml:space="preserve"> by</w:t>
      </w:r>
      <w:r>
        <w:t>:</w:t>
      </w:r>
    </w:p>
    <w:p w14:paraId="00219607" w14:textId="5F7E0CE7" w:rsidR="0002429D" w:rsidRDefault="007936EF" w:rsidP="00240B63">
      <w:pPr>
        <w:pStyle w:val="ListParagraph"/>
        <w:numPr>
          <w:ilvl w:val="3"/>
          <w:numId w:val="3"/>
        </w:numPr>
        <w:spacing w:after="120"/>
        <w:rPr>
          <w:rFonts w:eastAsia="Times New Roman"/>
        </w:rPr>
      </w:pPr>
      <w:r>
        <w:rPr>
          <w:rFonts w:eastAsia="Times New Roman"/>
        </w:rPr>
        <w:t xml:space="preserve">Focusing </w:t>
      </w:r>
      <w:r w:rsidR="0002429D">
        <w:rPr>
          <w:rFonts w:eastAsia="Times New Roman"/>
        </w:rPr>
        <w:t xml:space="preserve">on the numbers you want to serve in ELC (col B), ELC-IET (col C), Intensive (col F), and non-ELC-IET (col H) </w:t>
      </w:r>
      <w:r>
        <w:rPr>
          <w:rFonts w:eastAsia="Times New Roman"/>
        </w:rPr>
        <w:t xml:space="preserve">on row 10 </w:t>
      </w:r>
      <w:r w:rsidR="0002429D">
        <w:rPr>
          <w:rFonts w:eastAsia="Times New Roman"/>
        </w:rPr>
        <w:t xml:space="preserve">and the tool will automatically calculate the amount of money left over to serve customers in Basic AEL (col K) and will add it all up for the Total Participants Target (col L). </w:t>
      </w:r>
    </w:p>
    <w:p w14:paraId="238537A7" w14:textId="4F8F144A" w:rsidR="0002429D" w:rsidRDefault="0002429D" w:rsidP="00240B63">
      <w:pPr>
        <w:pStyle w:val="ListParagraph"/>
        <w:numPr>
          <w:ilvl w:val="3"/>
          <w:numId w:val="3"/>
        </w:numPr>
        <w:spacing w:after="120"/>
        <w:rPr>
          <w:rFonts w:eastAsia="Times New Roman"/>
        </w:rPr>
      </w:pPr>
      <w:r>
        <w:rPr>
          <w:rFonts w:eastAsia="Times New Roman"/>
        </w:rPr>
        <w:t>If you enter numbers that upset the balance too much</w:t>
      </w:r>
      <w:r w:rsidR="007936EF">
        <w:rPr>
          <w:rFonts w:eastAsia="Times New Roman"/>
        </w:rPr>
        <w:t xml:space="preserve"> (such as proposal all students be served in the Intensive or Basic programs)</w:t>
      </w:r>
      <w:r>
        <w:rPr>
          <w:rFonts w:eastAsia="Times New Roman"/>
        </w:rPr>
        <w:t>, cells D11, F11, H11, I11, and/or L11 will light up with a message explaining there is an error and what you to do about it</w:t>
      </w:r>
      <w:r w:rsidR="007936EF">
        <w:rPr>
          <w:rFonts w:eastAsia="Times New Roman"/>
        </w:rPr>
        <w:t>.</w:t>
      </w:r>
    </w:p>
    <w:p w14:paraId="5995D57A" w14:textId="158581D3" w:rsidR="0002429D" w:rsidRDefault="0002429D" w:rsidP="00240B63">
      <w:pPr>
        <w:pStyle w:val="ListParagraph"/>
        <w:numPr>
          <w:ilvl w:val="0"/>
          <w:numId w:val="3"/>
        </w:numPr>
        <w:spacing w:after="120"/>
        <w:rPr>
          <w:rFonts w:eastAsia="Times New Roman"/>
          <w:highlight w:val="yellow"/>
        </w:rPr>
      </w:pPr>
      <w:r>
        <w:rPr>
          <w:rFonts w:eastAsia="Times New Roman"/>
          <w:highlight w:val="yellow"/>
        </w:rPr>
        <w:lastRenderedPageBreak/>
        <w:t xml:space="preserve">When you are done, submit your negotiation tool back to </w:t>
      </w:r>
      <w:hyperlink r:id="rId9" w:history="1">
        <w:r>
          <w:rPr>
            <w:rStyle w:val="Hyperlink"/>
            <w:rFonts w:eastAsia="Times New Roman"/>
            <w:highlight w:val="yellow"/>
          </w:rPr>
          <w:t>Freda.Jackson@TWC.state.tx.us</w:t>
        </w:r>
      </w:hyperlink>
      <w:r w:rsidR="009B6B37">
        <w:rPr>
          <w:rFonts w:eastAsia="Times New Roman"/>
          <w:highlight w:val="yellow"/>
        </w:rPr>
        <w:t>.</w:t>
      </w:r>
    </w:p>
    <w:p w14:paraId="7897DC6B" w14:textId="0F67EC7B" w:rsidR="0002429D" w:rsidRPr="00395816" w:rsidRDefault="0002429D" w:rsidP="00395816">
      <w:pPr>
        <w:pStyle w:val="ListParagraph"/>
        <w:numPr>
          <w:ilvl w:val="1"/>
          <w:numId w:val="3"/>
        </w:numPr>
        <w:spacing w:after="120"/>
        <w:rPr>
          <w:rFonts w:eastAsia="Times New Roman"/>
        </w:rPr>
      </w:pPr>
      <w:r w:rsidRPr="00395816">
        <w:rPr>
          <w:rFonts w:eastAsia="Times New Roman"/>
          <w:b/>
          <w:bCs/>
        </w:rPr>
        <w:t xml:space="preserve">If the file you submit back to us shows no </w:t>
      </w:r>
      <w:proofErr w:type="gramStart"/>
      <w:r w:rsidRPr="00395816">
        <w:rPr>
          <w:rFonts w:eastAsia="Times New Roman"/>
          <w:b/>
          <w:bCs/>
        </w:rPr>
        <w:t>errors</w:t>
      </w:r>
      <w:proofErr w:type="gramEnd"/>
      <w:r>
        <w:rPr>
          <w:rFonts w:eastAsia="Times New Roman"/>
        </w:rPr>
        <w:t xml:space="preserve"> you can assume that there is a 99+% chance it will be approved</w:t>
      </w:r>
      <w:r w:rsidR="00395816">
        <w:rPr>
          <w:rFonts w:eastAsia="Times New Roman"/>
        </w:rPr>
        <w:t xml:space="preserve">.  </w:t>
      </w:r>
      <w:r>
        <w:t xml:space="preserve">Final approval from the Commission will not happen until </w:t>
      </w:r>
      <w:r w:rsidR="00395816">
        <w:t>later in September</w:t>
      </w:r>
      <w:r>
        <w:t xml:space="preserve"> but we will let you know that we plan to recommend approval of your proposal</w:t>
      </w:r>
      <w:r w:rsidR="00395816">
        <w:t>.</w:t>
      </w:r>
    </w:p>
    <w:p w14:paraId="74EFFB84" w14:textId="2A18CC09" w:rsidR="0002429D" w:rsidRDefault="0002429D" w:rsidP="00240B63">
      <w:pPr>
        <w:pStyle w:val="ListParagraph"/>
        <w:numPr>
          <w:ilvl w:val="1"/>
          <w:numId w:val="3"/>
        </w:numPr>
        <w:spacing w:after="120"/>
        <w:rPr>
          <w:rFonts w:eastAsia="Times New Roman"/>
        </w:rPr>
      </w:pPr>
      <w:r>
        <w:rPr>
          <w:rFonts w:eastAsia="Times New Roman"/>
        </w:rPr>
        <w:t xml:space="preserve">If the file you submit back shows errors of some kind (meaning that you are proposing targets outside the expected negotiation parameters, in addition to sending it to Freda, you need to send it </w:t>
      </w:r>
      <w:hyperlink r:id="rId10" w:history="1">
        <w:r>
          <w:rPr>
            <w:rStyle w:val="Hyperlink"/>
            <w:rFonts w:eastAsia="Times New Roman"/>
          </w:rPr>
          <w:t>Mahalia.Baldini@TWC.state.tx.us</w:t>
        </w:r>
      </w:hyperlink>
      <w:r>
        <w:rPr>
          <w:rFonts w:eastAsia="Times New Roman"/>
        </w:rPr>
        <w:t xml:space="preserve">and </w:t>
      </w:r>
      <w:hyperlink r:id="rId11" w:history="1">
        <w:r>
          <w:rPr>
            <w:rStyle w:val="Hyperlink"/>
            <w:rFonts w:eastAsia="Times New Roman"/>
          </w:rPr>
          <w:t>Adam.Leonard@TWC.state.tx.us</w:t>
        </w:r>
      </w:hyperlink>
      <w:r>
        <w:rPr>
          <w:rFonts w:eastAsia="Times New Roman"/>
        </w:rPr>
        <w:t xml:space="preserve">. </w:t>
      </w:r>
      <w:r w:rsidR="00395816">
        <w:rPr>
          <w:rFonts w:eastAsia="Times New Roman"/>
        </w:rPr>
        <w:t xml:space="preserve"> This submission </w:t>
      </w:r>
      <w:proofErr w:type="gramStart"/>
      <w:r w:rsidR="00395816">
        <w:rPr>
          <w:rFonts w:eastAsia="Times New Roman"/>
        </w:rPr>
        <w:t>has to</w:t>
      </w:r>
      <w:proofErr w:type="gramEnd"/>
      <w:r w:rsidR="00395816">
        <w:rPr>
          <w:rFonts w:eastAsia="Times New Roman"/>
        </w:rPr>
        <w:t xml:space="preserve"> be accompanied by a narrative with provides a justification for submitting target proposals outside of the expected ranges</w:t>
      </w:r>
    </w:p>
    <w:p w14:paraId="3590E087" w14:textId="77777777" w:rsidR="0002429D" w:rsidRDefault="0002429D" w:rsidP="00240B63">
      <w:pPr>
        <w:pStyle w:val="ListParagraph"/>
        <w:numPr>
          <w:ilvl w:val="2"/>
          <w:numId w:val="3"/>
        </w:numPr>
        <w:spacing w:after="120"/>
      </w:pPr>
      <w:r>
        <w:t>It is possible that we might approve such a proposal if:</w:t>
      </w:r>
    </w:p>
    <w:p w14:paraId="12027256" w14:textId="77777777" w:rsidR="0002429D" w:rsidRDefault="0002429D" w:rsidP="00240B63">
      <w:pPr>
        <w:pStyle w:val="ListParagraph"/>
        <w:numPr>
          <w:ilvl w:val="3"/>
          <w:numId w:val="3"/>
        </w:numPr>
        <w:spacing w:after="120"/>
        <w:rPr>
          <w:rFonts w:eastAsia="Times New Roman"/>
        </w:rPr>
      </w:pPr>
      <w:r>
        <w:rPr>
          <w:rFonts w:eastAsia="Times New Roman"/>
        </w:rPr>
        <w:t>It is supported by the request narrative; AND</w:t>
      </w:r>
    </w:p>
    <w:p w14:paraId="02E9182D" w14:textId="3F0976D0" w:rsidR="0002429D" w:rsidRDefault="0002429D" w:rsidP="00240B63">
      <w:pPr>
        <w:pStyle w:val="ListParagraph"/>
        <w:numPr>
          <w:ilvl w:val="3"/>
          <w:numId w:val="3"/>
        </w:numPr>
        <w:spacing w:after="120"/>
        <w:rPr>
          <w:rFonts w:eastAsia="Times New Roman"/>
        </w:rPr>
      </w:pPr>
      <w:r>
        <w:rPr>
          <w:rFonts w:eastAsia="Times New Roman"/>
        </w:rPr>
        <w:t xml:space="preserve">We find that your proposal </w:t>
      </w:r>
      <w:r w:rsidR="00395816">
        <w:rPr>
          <w:rFonts w:eastAsia="Times New Roman"/>
        </w:rPr>
        <w:t xml:space="preserve">which combined </w:t>
      </w:r>
      <w:r>
        <w:rPr>
          <w:rFonts w:eastAsia="Times New Roman"/>
        </w:rPr>
        <w:t>with everybody else’s will let the system</w:t>
      </w:r>
      <w:r w:rsidR="00395816">
        <w:rPr>
          <w:rFonts w:eastAsia="Times New Roman"/>
        </w:rPr>
        <w:t xml:space="preserve"> meet our overall expectations</w:t>
      </w:r>
      <w:r>
        <w:rPr>
          <w:rFonts w:eastAsia="Times New Roman"/>
        </w:rPr>
        <w:t>.</w:t>
      </w:r>
    </w:p>
    <w:p w14:paraId="43511C09" w14:textId="77777777" w:rsidR="0002429D" w:rsidRDefault="0002429D" w:rsidP="00240B63">
      <w:pPr>
        <w:pStyle w:val="ListParagraph"/>
        <w:numPr>
          <w:ilvl w:val="2"/>
          <w:numId w:val="3"/>
        </w:numPr>
        <w:spacing w:after="120"/>
      </w:pPr>
      <w:r>
        <w:t>Otherwise we might have to contact you to discuss.</w:t>
      </w:r>
    </w:p>
    <w:p w14:paraId="633A36AC" w14:textId="22759F3F" w:rsidR="0005225E" w:rsidRDefault="00395816" w:rsidP="00C34EF9">
      <w:pPr>
        <w:spacing w:after="120"/>
        <w:rPr>
          <w:b/>
          <w:bCs/>
        </w:rPr>
      </w:pPr>
      <w:r>
        <w:rPr>
          <w:b/>
          <w:bCs/>
        </w:rPr>
        <w:t>COUNTY-LEVEL DATA</w:t>
      </w:r>
    </w:p>
    <w:p w14:paraId="293A9224" w14:textId="15197FA3" w:rsidR="0005225E" w:rsidRDefault="0005225E" w:rsidP="00C34EF9">
      <w:pPr>
        <w:spacing w:after="120"/>
      </w:pPr>
      <w:r>
        <w:t xml:space="preserve">Your total allocations are </w:t>
      </w:r>
      <w:proofErr w:type="gramStart"/>
      <w:r>
        <w:t>actually made</w:t>
      </w:r>
      <w:proofErr w:type="gramEnd"/>
      <w:r>
        <w:t xml:space="preserve"> up of mini county-level allocations and those allocations are based on things like the number of adults without HS diplomas in the county.</w:t>
      </w:r>
      <w:r w:rsidR="00D078CB">
        <w:t xml:space="preserve"> Last year we added a County Level Allocation tab into the tool to help you see how total funding is determined. W</w:t>
      </w:r>
      <w:r>
        <w:t xml:space="preserve">e also added another tab called “Service Levels by County” which takes your proposed targets (whatever they are) and proportionately breaks them out by county based on the percent of funding coming from that county. </w:t>
      </w:r>
      <w:proofErr w:type="gramStart"/>
      <w:r w:rsidR="00D078CB">
        <w:t>Both of these</w:t>
      </w:r>
      <w:proofErr w:type="gramEnd"/>
      <w:r w:rsidR="00D078CB">
        <w:t xml:space="preserve"> tabs are included again.</w:t>
      </w:r>
    </w:p>
    <w:p w14:paraId="2FEDDB01" w14:textId="56AD18A9" w:rsidR="0005225E" w:rsidRDefault="0005225E" w:rsidP="00C34EF9">
      <w:pPr>
        <w:spacing w:after="120"/>
      </w:pPr>
      <w:r>
        <w:t>I want to emphasize</w:t>
      </w:r>
      <w:r w:rsidR="00D078CB">
        <w:t xml:space="preserve"> that</w:t>
      </w:r>
      <w:r>
        <w:t xml:space="preserve"> </w:t>
      </w:r>
      <w:r>
        <w:rPr>
          <w:b/>
          <w:bCs/>
        </w:rPr>
        <w:t>we don’t necessarily expect that a grantee would serve in perfect proportion to their allocations.</w:t>
      </w:r>
      <w:r>
        <w:t xml:space="preserve"> For example, if you serve 3 counties and 20% of your money comes from county A, we don’t necessarily expect 20% of those served to come from that county. That said, we probably shouldn’t see only 2% coming from that county, right? </w:t>
      </w:r>
    </w:p>
    <w:p w14:paraId="79FC2093" w14:textId="77777777" w:rsidR="0005225E" w:rsidRDefault="0005225E" w:rsidP="00C34EF9">
      <w:pPr>
        <w:spacing w:after="120"/>
      </w:pPr>
      <w:r>
        <w:t xml:space="preserve">To be clear, we are setting targets at the grantee/area level (think grantee ID in TEAMS for those of </w:t>
      </w:r>
      <w:proofErr w:type="gramStart"/>
      <w:r>
        <w:t>you</w:t>
      </w:r>
      <w:proofErr w:type="gramEnd"/>
      <w:r>
        <w:t xml:space="preserve"> grantees operating in multiple Board areas). We are not setting subtargets for each county. We’re not going to publish “meeting/not meeting” data by county. These tabs are INFORMATIONAL ONLY.</w:t>
      </w:r>
    </w:p>
    <w:p w14:paraId="587A9C24" w14:textId="1531C957" w:rsidR="0005225E" w:rsidRPr="000B086E" w:rsidRDefault="000B086E" w:rsidP="00C34EF9">
      <w:pPr>
        <w:spacing w:after="120"/>
        <w:rPr>
          <w:b/>
          <w:bCs/>
        </w:rPr>
      </w:pPr>
      <w:r w:rsidRPr="000B086E">
        <w:rPr>
          <w:b/>
          <w:bCs/>
        </w:rPr>
        <w:t>OTHER TARGETS</w:t>
      </w:r>
    </w:p>
    <w:p w14:paraId="3205C8D3" w14:textId="1D647FDA" w:rsidR="000B086E" w:rsidRDefault="000B086E" w:rsidP="00C34EF9">
      <w:pPr>
        <w:spacing w:after="120"/>
      </w:pPr>
      <w:r>
        <w:t xml:space="preserve">In addition to the Participant targets which we negotiate, TWC </w:t>
      </w:r>
      <w:r w:rsidR="00417C11">
        <w:t xml:space="preserve">is setting 4 additional outcome targets as we did last year.  The targets for the “exit-based” outcome measures are based on </w:t>
      </w:r>
      <w:r w:rsidR="00DE0E27">
        <w:t xml:space="preserve">recent reevaluation of performance as a result of the pandemic as part of our </w:t>
      </w:r>
      <w:r w:rsidR="007D4877">
        <w:t>agency’s Legislative Appropriation Request</w:t>
      </w:r>
      <w:r w:rsidR="005672F5">
        <w:t xml:space="preserve"> from October.</w:t>
      </w:r>
    </w:p>
    <w:tbl>
      <w:tblPr>
        <w:tblW w:w="5308" w:type="dxa"/>
        <w:tblCellMar>
          <w:left w:w="0" w:type="dxa"/>
          <w:right w:w="0" w:type="dxa"/>
        </w:tblCellMar>
        <w:tblLook w:val="04A0" w:firstRow="1" w:lastRow="0" w:firstColumn="1" w:lastColumn="0" w:noHBand="0" w:noVBand="1"/>
      </w:tblPr>
      <w:tblGrid>
        <w:gridCol w:w="4080"/>
        <w:gridCol w:w="1228"/>
      </w:tblGrid>
      <w:tr w:rsidR="000C52DB" w14:paraId="182AC72E" w14:textId="77777777" w:rsidTr="000C52DB">
        <w:trPr>
          <w:trHeight w:val="560"/>
        </w:trPr>
        <w:tc>
          <w:tcPr>
            <w:tcW w:w="4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B4DD11" w14:textId="77777777" w:rsidR="000C52DB" w:rsidRPr="002C1B65" w:rsidRDefault="000C52DB" w:rsidP="000C52DB">
            <w:pPr>
              <w:spacing w:after="0"/>
              <w:rPr>
                <w:rFonts w:cstheme="minorHAnsi"/>
                <w:b/>
                <w:bCs/>
              </w:rPr>
            </w:pPr>
            <w:r w:rsidRPr="002C1B65">
              <w:rPr>
                <w:rFonts w:cstheme="minorHAnsi"/>
                <w:b/>
                <w:bCs/>
              </w:rPr>
              <w:t>AEL</w:t>
            </w:r>
          </w:p>
        </w:tc>
        <w:tc>
          <w:tcPr>
            <w:tcW w:w="1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91A9C5" w14:textId="77777777" w:rsidR="000C52DB" w:rsidRPr="002C1B65" w:rsidRDefault="000C52DB" w:rsidP="000C52DB">
            <w:pPr>
              <w:spacing w:after="0"/>
              <w:jc w:val="center"/>
              <w:rPr>
                <w:rFonts w:cstheme="minorHAnsi"/>
                <w:b/>
                <w:bCs/>
                <w:color w:val="000000"/>
              </w:rPr>
            </w:pPr>
            <w:r w:rsidRPr="002C1B65">
              <w:rPr>
                <w:rFonts w:cstheme="minorHAnsi"/>
                <w:b/>
                <w:bCs/>
                <w:color w:val="000000"/>
              </w:rPr>
              <w:t>PY20 from LAR</w:t>
            </w:r>
          </w:p>
        </w:tc>
      </w:tr>
      <w:tr w:rsidR="000C52DB" w14:paraId="7433E922" w14:textId="77777777" w:rsidTr="000C52DB">
        <w:trPr>
          <w:trHeight w:val="280"/>
        </w:trPr>
        <w:tc>
          <w:tcPr>
            <w:tcW w:w="4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27F6AB" w14:textId="77777777" w:rsidR="000C52DB" w:rsidRPr="002C1B65" w:rsidRDefault="000C52DB" w:rsidP="000C52DB">
            <w:pPr>
              <w:spacing w:after="0"/>
              <w:rPr>
                <w:rFonts w:cstheme="minorHAnsi"/>
              </w:rPr>
            </w:pPr>
            <w:r w:rsidRPr="002C1B65">
              <w:rPr>
                <w:rFonts w:cstheme="minorHAnsi"/>
              </w:rPr>
              <w:t>Employed/Enrolled Q2 Post-Exit</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ED87C" w14:textId="77777777" w:rsidR="000C52DB" w:rsidRPr="002C1B65" w:rsidRDefault="000C52DB" w:rsidP="000C52DB">
            <w:pPr>
              <w:spacing w:after="0"/>
              <w:jc w:val="center"/>
              <w:rPr>
                <w:rFonts w:cstheme="minorHAnsi"/>
              </w:rPr>
            </w:pPr>
            <w:r w:rsidRPr="002C1B65">
              <w:rPr>
                <w:rFonts w:cstheme="minorHAnsi"/>
              </w:rPr>
              <w:t>34.00%</w:t>
            </w:r>
          </w:p>
        </w:tc>
      </w:tr>
      <w:tr w:rsidR="000C52DB" w14:paraId="7B9C7C1D" w14:textId="77777777" w:rsidTr="000C52DB">
        <w:trPr>
          <w:trHeight w:val="280"/>
        </w:trPr>
        <w:tc>
          <w:tcPr>
            <w:tcW w:w="4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83A043" w14:textId="77777777" w:rsidR="000C52DB" w:rsidRPr="002C1B65" w:rsidRDefault="000C52DB" w:rsidP="000C52DB">
            <w:pPr>
              <w:spacing w:after="0"/>
              <w:rPr>
                <w:rFonts w:cstheme="minorHAnsi"/>
              </w:rPr>
            </w:pPr>
            <w:r w:rsidRPr="002C1B65">
              <w:rPr>
                <w:rFonts w:cstheme="minorHAnsi"/>
              </w:rPr>
              <w:t>Employed/Enrolled Q2-Q4 Post-Exit</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A7D4D4" w14:textId="77777777" w:rsidR="000C52DB" w:rsidRPr="002C1B65" w:rsidRDefault="000C52DB" w:rsidP="000C52DB">
            <w:pPr>
              <w:spacing w:after="0"/>
              <w:jc w:val="center"/>
              <w:rPr>
                <w:rFonts w:cstheme="minorHAnsi"/>
              </w:rPr>
            </w:pPr>
            <w:r w:rsidRPr="002C1B65">
              <w:rPr>
                <w:rFonts w:cstheme="minorHAnsi"/>
              </w:rPr>
              <w:t>79.70%</w:t>
            </w:r>
          </w:p>
        </w:tc>
      </w:tr>
      <w:tr w:rsidR="000C52DB" w14:paraId="784D0157" w14:textId="77777777" w:rsidTr="000C52DB">
        <w:trPr>
          <w:trHeight w:val="280"/>
        </w:trPr>
        <w:tc>
          <w:tcPr>
            <w:tcW w:w="4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526018" w14:textId="77777777" w:rsidR="000C52DB" w:rsidRPr="002C1B65" w:rsidRDefault="000C52DB" w:rsidP="000C52DB">
            <w:pPr>
              <w:spacing w:after="0"/>
              <w:rPr>
                <w:rFonts w:cstheme="minorHAnsi"/>
              </w:rPr>
            </w:pPr>
            <w:r w:rsidRPr="002C1B65">
              <w:rPr>
                <w:rFonts w:cstheme="minorHAnsi"/>
              </w:rPr>
              <w:t>Credential Rate</w:t>
            </w:r>
          </w:p>
        </w:tc>
        <w:tc>
          <w:tcPr>
            <w:tcW w:w="12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D575B" w14:textId="77777777" w:rsidR="000C52DB" w:rsidRPr="002C1B65" w:rsidRDefault="000C52DB" w:rsidP="000C52DB">
            <w:pPr>
              <w:spacing w:after="0"/>
              <w:jc w:val="center"/>
              <w:rPr>
                <w:rFonts w:cstheme="minorHAnsi"/>
              </w:rPr>
            </w:pPr>
            <w:r w:rsidRPr="002C1B65">
              <w:rPr>
                <w:rFonts w:cstheme="minorHAnsi"/>
              </w:rPr>
              <w:t>39.00%</w:t>
            </w:r>
          </w:p>
        </w:tc>
      </w:tr>
    </w:tbl>
    <w:p w14:paraId="2BC75C54" w14:textId="57271B23" w:rsidR="002C1B65" w:rsidRPr="002C1B65" w:rsidRDefault="000C52DB" w:rsidP="0070183D">
      <w:pPr>
        <w:spacing w:before="160"/>
        <w:rPr>
          <w:rFonts w:ascii="Calibri" w:hAnsi="Calibri" w:cs="Calibri"/>
        </w:rPr>
      </w:pPr>
      <w:r>
        <w:rPr>
          <w:rFonts w:ascii="Calibri" w:hAnsi="Calibri" w:cs="Calibri"/>
        </w:rPr>
        <w:t>The last target is related to Measurable Skills Gain and the target for th</w:t>
      </w:r>
      <w:r w:rsidR="00483863">
        <w:rPr>
          <w:rFonts w:ascii="Calibri" w:hAnsi="Calibri" w:cs="Calibri"/>
        </w:rPr>
        <w:t>is measure is a</w:t>
      </w:r>
      <w:r w:rsidR="006F056C">
        <w:rPr>
          <w:rFonts w:ascii="Calibri" w:hAnsi="Calibri" w:cs="Calibri"/>
        </w:rPr>
        <w:t xml:space="preserve"> weighted </w:t>
      </w:r>
      <w:r w:rsidR="00483863">
        <w:rPr>
          <w:rFonts w:ascii="Calibri" w:hAnsi="Calibri" w:cs="Calibri"/>
        </w:rPr>
        <w:t xml:space="preserve">average of the </w:t>
      </w:r>
      <w:r w:rsidR="00DC7ED9">
        <w:rPr>
          <w:rFonts w:ascii="Calibri" w:hAnsi="Calibri" w:cs="Calibri"/>
        </w:rPr>
        <w:t>12 EFL subtargets we negotiated with the U.S. Department of Education.  In order to simplify our approach on this, we are not setting separate targets for the 1</w:t>
      </w:r>
      <w:r w:rsidR="00DC7ED9" w:rsidRPr="00DC7ED9">
        <w:rPr>
          <w:rFonts w:ascii="Calibri" w:hAnsi="Calibri" w:cs="Calibri"/>
          <w:vertAlign w:val="superscript"/>
        </w:rPr>
        <w:t>st</w:t>
      </w:r>
      <w:r w:rsidR="00DC7ED9">
        <w:rPr>
          <w:rFonts w:ascii="Calibri" w:hAnsi="Calibri" w:cs="Calibri"/>
        </w:rPr>
        <w:t xml:space="preserve"> nine months of the year and then </w:t>
      </w:r>
      <w:r w:rsidR="0067360B">
        <w:rPr>
          <w:rFonts w:ascii="Calibri" w:hAnsi="Calibri" w:cs="Calibri"/>
        </w:rPr>
        <w:t>another (lower) set for the last 3 months.  While this approach had some theoretical benefits, we did no</w:t>
      </w:r>
      <w:r w:rsidR="00FE7262">
        <w:rPr>
          <w:rFonts w:ascii="Calibri" w:hAnsi="Calibri" w:cs="Calibri"/>
        </w:rPr>
        <w:t xml:space="preserve">t think the additional complexity </w:t>
      </w:r>
      <w:r w:rsidR="00766D47">
        <w:rPr>
          <w:rFonts w:ascii="Calibri" w:hAnsi="Calibri" w:cs="Calibri"/>
        </w:rPr>
        <w:t xml:space="preserve">had a justifiably </w:t>
      </w:r>
      <w:r w:rsidR="00FE7262">
        <w:rPr>
          <w:rFonts w:ascii="Calibri" w:hAnsi="Calibri" w:cs="Calibri"/>
        </w:rPr>
        <w:t>significant impact</w:t>
      </w:r>
      <w:r w:rsidR="00766D47">
        <w:rPr>
          <w:rFonts w:ascii="Calibri" w:hAnsi="Calibri" w:cs="Calibri"/>
        </w:rPr>
        <w:t xml:space="preserve"> on performance.</w:t>
      </w:r>
      <w:r w:rsidR="002C1B65">
        <w:rPr>
          <w:rFonts w:ascii="Calibri" w:hAnsi="Calibri" w:cs="Calibri"/>
        </w:rPr>
        <w:t xml:space="preserve">  This simplifies </w:t>
      </w:r>
      <w:r w:rsidR="006F056C">
        <w:rPr>
          <w:rFonts w:ascii="Calibri" w:hAnsi="Calibri" w:cs="Calibri"/>
        </w:rPr>
        <w:t xml:space="preserve">performance monitoring.  </w:t>
      </w:r>
      <w:r w:rsidR="00341D97">
        <w:rPr>
          <w:rFonts w:ascii="Calibri" w:hAnsi="Calibri" w:cs="Calibri"/>
        </w:rPr>
        <w:t xml:space="preserve">While Grantees are each held responsible for </w:t>
      </w:r>
      <w:r w:rsidR="003D3C75">
        <w:rPr>
          <w:rFonts w:ascii="Calibri" w:hAnsi="Calibri" w:cs="Calibri"/>
        </w:rPr>
        <w:t>overall Measurable Skills Gain performance made up of the weighted average of the subtargets</w:t>
      </w:r>
      <w:r w:rsidR="00DE0C55">
        <w:rPr>
          <w:rFonts w:ascii="Calibri" w:hAnsi="Calibri" w:cs="Calibri"/>
        </w:rPr>
        <w:t xml:space="preserve"> which means that the target moves as enrollment changes,</w:t>
      </w:r>
      <w:r w:rsidR="003D3C75">
        <w:rPr>
          <w:rFonts w:ascii="Calibri" w:hAnsi="Calibri" w:cs="Calibri"/>
        </w:rPr>
        <w:t xml:space="preserve"> </w:t>
      </w:r>
      <w:r w:rsidR="00DE0C55">
        <w:rPr>
          <w:rFonts w:ascii="Calibri" w:hAnsi="Calibri" w:cs="Calibri"/>
        </w:rPr>
        <w:t>if a Grantee meets each of the 12 subtargets, th</w:t>
      </w:r>
      <w:r w:rsidR="0070183D">
        <w:rPr>
          <w:rFonts w:ascii="Calibri" w:hAnsi="Calibri" w:cs="Calibri"/>
        </w:rPr>
        <w:t>e target will meet for the year.</w:t>
      </w:r>
    </w:p>
    <w:tbl>
      <w:tblPr>
        <w:tblStyle w:val="TableGrid"/>
        <w:tblW w:w="0" w:type="auto"/>
        <w:tblLook w:val="04A0" w:firstRow="1" w:lastRow="0" w:firstColumn="1" w:lastColumn="0" w:noHBand="0" w:noVBand="1"/>
      </w:tblPr>
      <w:tblGrid>
        <w:gridCol w:w="1345"/>
        <w:gridCol w:w="1260"/>
      </w:tblGrid>
      <w:tr w:rsidR="002C1B65" w:rsidRPr="002C1B65" w14:paraId="7FCA5809" w14:textId="77777777" w:rsidTr="002C1B65">
        <w:tc>
          <w:tcPr>
            <w:tcW w:w="1345" w:type="dxa"/>
          </w:tcPr>
          <w:p w14:paraId="7782F525" w14:textId="19508A45" w:rsidR="002C1B65" w:rsidRPr="002C1B65" w:rsidRDefault="002C1B65" w:rsidP="002C1B65">
            <w:pPr>
              <w:rPr>
                <w:rFonts w:ascii="Calibri" w:hAnsi="Calibri" w:cs="Calibri"/>
                <w:b/>
                <w:bCs/>
              </w:rPr>
            </w:pPr>
            <w:r w:rsidRPr="002C1B65">
              <w:rPr>
                <w:rFonts w:ascii="Calibri" w:hAnsi="Calibri" w:cs="Calibri"/>
                <w:b/>
                <w:bCs/>
              </w:rPr>
              <w:t>EFL Level</w:t>
            </w:r>
          </w:p>
        </w:tc>
        <w:tc>
          <w:tcPr>
            <w:tcW w:w="1260" w:type="dxa"/>
          </w:tcPr>
          <w:p w14:paraId="76038320" w14:textId="7DAF26E7" w:rsidR="002C1B65" w:rsidRPr="002C1B65" w:rsidRDefault="002C1B65" w:rsidP="002C1B65">
            <w:pPr>
              <w:rPr>
                <w:rFonts w:ascii="Calibri" w:hAnsi="Calibri" w:cs="Calibri"/>
                <w:b/>
                <w:bCs/>
              </w:rPr>
            </w:pPr>
            <w:proofErr w:type="spellStart"/>
            <w:r w:rsidRPr="002C1B65">
              <w:rPr>
                <w:rFonts w:ascii="Calibri" w:hAnsi="Calibri" w:cs="Calibri"/>
                <w:b/>
                <w:bCs/>
              </w:rPr>
              <w:t>SubTarget</w:t>
            </w:r>
            <w:proofErr w:type="spellEnd"/>
          </w:p>
        </w:tc>
      </w:tr>
      <w:tr w:rsidR="002C1B65" w:rsidRPr="002C1B65" w14:paraId="10832BF7" w14:textId="77777777" w:rsidTr="002C1B65">
        <w:tc>
          <w:tcPr>
            <w:tcW w:w="1345" w:type="dxa"/>
          </w:tcPr>
          <w:p w14:paraId="068992FA" w14:textId="77777777" w:rsidR="002C1B65" w:rsidRPr="002C1B65" w:rsidRDefault="002C1B65" w:rsidP="002C1B65">
            <w:pPr>
              <w:rPr>
                <w:rFonts w:ascii="Calibri" w:hAnsi="Calibri" w:cs="Calibri"/>
              </w:rPr>
            </w:pPr>
            <w:r w:rsidRPr="002C1B65">
              <w:rPr>
                <w:rFonts w:ascii="Calibri" w:hAnsi="Calibri" w:cs="Calibri"/>
              </w:rPr>
              <w:lastRenderedPageBreak/>
              <w:t>ABE1</w:t>
            </w:r>
          </w:p>
        </w:tc>
        <w:tc>
          <w:tcPr>
            <w:tcW w:w="1260" w:type="dxa"/>
          </w:tcPr>
          <w:p w14:paraId="66D83C03" w14:textId="77777777" w:rsidR="002C1B65" w:rsidRPr="002C1B65" w:rsidRDefault="002C1B65" w:rsidP="002C1B65">
            <w:pPr>
              <w:rPr>
                <w:rFonts w:ascii="Calibri" w:hAnsi="Calibri" w:cs="Calibri"/>
              </w:rPr>
            </w:pPr>
            <w:r w:rsidRPr="002C1B65">
              <w:rPr>
                <w:rFonts w:ascii="Calibri" w:hAnsi="Calibri" w:cs="Calibri"/>
              </w:rPr>
              <w:t>39.0%</w:t>
            </w:r>
          </w:p>
        </w:tc>
      </w:tr>
      <w:tr w:rsidR="002C1B65" w:rsidRPr="002C1B65" w14:paraId="0E183BC1" w14:textId="77777777" w:rsidTr="002C1B65">
        <w:tc>
          <w:tcPr>
            <w:tcW w:w="1345" w:type="dxa"/>
          </w:tcPr>
          <w:p w14:paraId="133A5349" w14:textId="77777777" w:rsidR="002C1B65" w:rsidRPr="002C1B65" w:rsidRDefault="002C1B65" w:rsidP="002C1B65">
            <w:pPr>
              <w:rPr>
                <w:rFonts w:ascii="Calibri" w:hAnsi="Calibri" w:cs="Calibri"/>
              </w:rPr>
            </w:pPr>
            <w:r w:rsidRPr="002C1B65">
              <w:rPr>
                <w:rFonts w:ascii="Calibri" w:hAnsi="Calibri" w:cs="Calibri"/>
              </w:rPr>
              <w:t>ABE2</w:t>
            </w:r>
          </w:p>
        </w:tc>
        <w:tc>
          <w:tcPr>
            <w:tcW w:w="1260" w:type="dxa"/>
          </w:tcPr>
          <w:p w14:paraId="3F99E5F8" w14:textId="77777777" w:rsidR="002C1B65" w:rsidRPr="002C1B65" w:rsidRDefault="002C1B65" w:rsidP="002C1B65">
            <w:pPr>
              <w:rPr>
                <w:rFonts w:ascii="Calibri" w:hAnsi="Calibri" w:cs="Calibri"/>
              </w:rPr>
            </w:pPr>
            <w:r w:rsidRPr="002C1B65">
              <w:rPr>
                <w:rFonts w:ascii="Calibri" w:hAnsi="Calibri" w:cs="Calibri"/>
              </w:rPr>
              <w:t>38.0%</w:t>
            </w:r>
          </w:p>
        </w:tc>
      </w:tr>
      <w:tr w:rsidR="002C1B65" w:rsidRPr="002C1B65" w14:paraId="071E7EB9" w14:textId="77777777" w:rsidTr="002C1B65">
        <w:tc>
          <w:tcPr>
            <w:tcW w:w="1345" w:type="dxa"/>
          </w:tcPr>
          <w:p w14:paraId="52B91ABA" w14:textId="77777777" w:rsidR="002C1B65" w:rsidRPr="002C1B65" w:rsidRDefault="002C1B65" w:rsidP="002C1B65">
            <w:pPr>
              <w:rPr>
                <w:rFonts w:ascii="Calibri" w:hAnsi="Calibri" w:cs="Calibri"/>
              </w:rPr>
            </w:pPr>
            <w:r w:rsidRPr="002C1B65">
              <w:rPr>
                <w:rFonts w:ascii="Calibri" w:hAnsi="Calibri" w:cs="Calibri"/>
              </w:rPr>
              <w:t>ABE3</w:t>
            </w:r>
          </w:p>
        </w:tc>
        <w:tc>
          <w:tcPr>
            <w:tcW w:w="1260" w:type="dxa"/>
          </w:tcPr>
          <w:p w14:paraId="22433394" w14:textId="77777777" w:rsidR="002C1B65" w:rsidRPr="002C1B65" w:rsidRDefault="002C1B65" w:rsidP="002C1B65">
            <w:pPr>
              <w:rPr>
                <w:rFonts w:ascii="Calibri" w:hAnsi="Calibri" w:cs="Calibri"/>
              </w:rPr>
            </w:pPr>
            <w:r w:rsidRPr="002C1B65">
              <w:rPr>
                <w:rFonts w:ascii="Calibri" w:hAnsi="Calibri" w:cs="Calibri"/>
              </w:rPr>
              <w:t>38.0%</w:t>
            </w:r>
          </w:p>
        </w:tc>
      </w:tr>
      <w:tr w:rsidR="002C1B65" w:rsidRPr="002C1B65" w14:paraId="6BBDB1A3" w14:textId="77777777" w:rsidTr="002C1B65">
        <w:tc>
          <w:tcPr>
            <w:tcW w:w="1345" w:type="dxa"/>
          </w:tcPr>
          <w:p w14:paraId="37F03D66" w14:textId="77777777" w:rsidR="002C1B65" w:rsidRPr="002C1B65" w:rsidRDefault="002C1B65" w:rsidP="002C1B65">
            <w:pPr>
              <w:rPr>
                <w:rFonts w:ascii="Calibri" w:hAnsi="Calibri" w:cs="Calibri"/>
              </w:rPr>
            </w:pPr>
            <w:r w:rsidRPr="002C1B65">
              <w:rPr>
                <w:rFonts w:ascii="Calibri" w:hAnsi="Calibri" w:cs="Calibri"/>
              </w:rPr>
              <w:t>ABE4</w:t>
            </w:r>
          </w:p>
        </w:tc>
        <w:tc>
          <w:tcPr>
            <w:tcW w:w="1260" w:type="dxa"/>
          </w:tcPr>
          <w:p w14:paraId="167042C1" w14:textId="77777777" w:rsidR="002C1B65" w:rsidRPr="002C1B65" w:rsidRDefault="002C1B65" w:rsidP="002C1B65">
            <w:pPr>
              <w:rPr>
                <w:rFonts w:ascii="Calibri" w:hAnsi="Calibri" w:cs="Calibri"/>
              </w:rPr>
            </w:pPr>
            <w:r w:rsidRPr="002C1B65">
              <w:rPr>
                <w:rFonts w:ascii="Calibri" w:hAnsi="Calibri" w:cs="Calibri"/>
              </w:rPr>
              <w:t>40.0%</w:t>
            </w:r>
          </w:p>
        </w:tc>
      </w:tr>
      <w:tr w:rsidR="002C1B65" w:rsidRPr="002C1B65" w14:paraId="5F07A482" w14:textId="77777777" w:rsidTr="002C1B65">
        <w:tc>
          <w:tcPr>
            <w:tcW w:w="1345" w:type="dxa"/>
          </w:tcPr>
          <w:p w14:paraId="6754BE03" w14:textId="77777777" w:rsidR="002C1B65" w:rsidRPr="002C1B65" w:rsidRDefault="002C1B65" w:rsidP="002C1B65">
            <w:pPr>
              <w:rPr>
                <w:rFonts w:ascii="Calibri" w:hAnsi="Calibri" w:cs="Calibri"/>
              </w:rPr>
            </w:pPr>
            <w:r w:rsidRPr="002C1B65">
              <w:rPr>
                <w:rFonts w:ascii="Calibri" w:hAnsi="Calibri" w:cs="Calibri"/>
              </w:rPr>
              <w:t>ABE5</w:t>
            </w:r>
          </w:p>
        </w:tc>
        <w:tc>
          <w:tcPr>
            <w:tcW w:w="1260" w:type="dxa"/>
          </w:tcPr>
          <w:p w14:paraId="390A6669" w14:textId="77777777" w:rsidR="002C1B65" w:rsidRPr="002C1B65" w:rsidRDefault="002C1B65" w:rsidP="002C1B65">
            <w:pPr>
              <w:rPr>
                <w:rFonts w:ascii="Calibri" w:hAnsi="Calibri" w:cs="Calibri"/>
              </w:rPr>
            </w:pPr>
            <w:r w:rsidRPr="002C1B65">
              <w:rPr>
                <w:rFonts w:ascii="Calibri" w:hAnsi="Calibri" w:cs="Calibri"/>
              </w:rPr>
              <w:t>43.0%</w:t>
            </w:r>
          </w:p>
        </w:tc>
      </w:tr>
      <w:tr w:rsidR="002C1B65" w:rsidRPr="002C1B65" w14:paraId="393A80F1" w14:textId="77777777" w:rsidTr="002C1B65">
        <w:tc>
          <w:tcPr>
            <w:tcW w:w="1345" w:type="dxa"/>
          </w:tcPr>
          <w:p w14:paraId="433EEB50" w14:textId="77777777" w:rsidR="002C1B65" w:rsidRPr="002C1B65" w:rsidRDefault="002C1B65" w:rsidP="002C1B65">
            <w:pPr>
              <w:rPr>
                <w:rFonts w:ascii="Calibri" w:hAnsi="Calibri" w:cs="Calibri"/>
              </w:rPr>
            </w:pPr>
            <w:r w:rsidRPr="002C1B65">
              <w:rPr>
                <w:rFonts w:ascii="Calibri" w:hAnsi="Calibri" w:cs="Calibri"/>
              </w:rPr>
              <w:t>ABE6</w:t>
            </w:r>
          </w:p>
        </w:tc>
        <w:tc>
          <w:tcPr>
            <w:tcW w:w="1260" w:type="dxa"/>
          </w:tcPr>
          <w:p w14:paraId="5FD63EF7" w14:textId="77777777" w:rsidR="002C1B65" w:rsidRPr="002C1B65" w:rsidRDefault="002C1B65" w:rsidP="002C1B65">
            <w:pPr>
              <w:rPr>
                <w:rFonts w:ascii="Calibri" w:hAnsi="Calibri" w:cs="Calibri"/>
              </w:rPr>
            </w:pPr>
            <w:r w:rsidRPr="002C1B65">
              <w:rPr>
                <w:rFonts w:ascii="Calibri" w:hAnsi="Calibri" w:cs="Calibri"/>
              </w:rPr>
              <w:t>34.0%</w:t>
            </w:r>
          </w:p>
        </w:tc>
      </w:tr>
      <w:tr w:rsidR="002C1B65" w:rsidRPr="002C1B65" w14:paraId="084C0CF1" w14:textId="77777777" w:rsidTr="002C1B65">
        <w:tc>
          <w:tcPr>
            <w:tcW w:w="1345" w:type="dxa"/>
          </w:tcPr>
          <w:p w14:paraId="14717705" w14:textId="77777777" w:rsidR="002C1B65" w:rsidRPr="002C1B65" w:rsidRDefault="002C1B65" w:rsidP="002C1B65">
            <w:pPr>
              <w:rPr>
                <w:rFonts w:ascii="Calibri" w:hAnsi="Calibri" w:cs="Calibri"/>
              </w:rPr>
            </w:pPr>
            <w:r w:rsidRPr="002C1B65">
              <w:rPr>
                <w:rFonts w:ascii="Calibri" w:hAnsi="Calibri" w:cs="Calibri"/>
              </w:rPr>
              <w:t>ESL1</w:t>
            </w:r>
          </w:p>
        </w:tc>
        <w:tc>
          <w:tcPr>
            <w:tcW w:w="1260" w:type="dxa"/>
          </w:tcPr>
          <w:p w14:paraId="5FEFA9A5" w14:textId="77777777" w:rsidR="002C1B65" w:rsidRPr="002C1B65" w:rsidRDefault="002C1B65" w:rsidP="002C1B65">
            <w:pPr>
              <w:rPr>
                <w:rFonts w:ascii="Calibri" w:hAnsi="Calibri" w:cs="Calibri"/>
              </w:rPr>
            </w:pPr>
            <w:r w:rsidRPr="002C1B65">
              <w:rPr>
                <w:rFonts w:ascii="Calibri" w:hAnsi="Calibri" w:cs="Calibri"/>
              </w:rPr>
              <w:t>45.0%</w:t>
            </w:r>
          </w:p>
        </w:tc>
      </w:tr>
      <w:tr w:rsidR="002C1B65" w:rsidRPr="002C1B65" w14:paraId="3E0D9E0D" w14:textId="77777777" w:rsidTr="002C1B65">
        <w:tc>
          <w:tcPr>
            <w:tcW w:w="1345" w:type="dxa"/>
          </w:tcPr>
          <w:p w14:paraId="68991F8A" w14:textId="77777777" w:rsidR="002C1B65" w:rsidRPr="002C1B65" w:rsidRDefault="002C1B65" w:rsidP="002C1B65">
            <w:pPr>
              <w:rPr>
                <w:rFonts w:ascii="Calibri" w:hAnsi="Calibri" w:cs="Calibri"/>
              </w:rPr>
            </w:pPr>
            <w:r w:rsidRPr="002C1B65">
              <w:rPr>
                <w:rFonts w:ascii="Calibri" w:hAnsi="Calibri" w:cs="Calibri"/>
              </w:rPr>
              <w:t>ESL2</w:t>
            </w:r>
          </w:p>
        </w:tc>
        <w:tc>
          <w:tcPr>
            <w:tcW w:w="1260" w:type="dxa"/>
          </w:tcPr>
          <w:p w14:paraId="555BCE7E" w14:textId="77777777" w:rsidR="002C1B65" w:rsidRPr="002C1B65" w:rsidRDefault="002C1B65" w:rsidP="002C1B65">
            <w:pPr>
              <w:rPr>
                <w:rFonts w:ascii="Calibri" w:hAnsi="Calibri" w:cs="Calibri"/>
              </w:rPr>
            </w:pPr>
            <w:r w:rsidRPr="002C1B65">
              <w:rPr>
                <w:rFonts w:ascii="Calibri" w:hAnsi="Calibri" w:cs="Calibri"/>
              </w:rPr>
              <w:t>49.0%</w:t>
            </w:r>
          </w:p>
        </w:tc>
      </w:tr>
      <w:tr w:rsidR="002C1B65" w:rsidRPr="002C1B65" w14:paraId="2A16BD54" w14:textId="77777777" w:rsidTr="002C1B65">
        <w:tc>
          <w:tcPr>
            <w:tcW w:w="1345" w:type="dxa"/>
          </w:tcPr>
          <w:p w14:paraId="2B75303E" w14:textId="77777777" w:rsidR="002C1B65" w:rsidRPr="002C1B65" w:rsidRDefault="002C1B65" w:rsidP="002C1B65">
            <w:pPr>
              <w:rPr>
                <w:rFonts w:ascii="Calibri" w:hAnsi="Calibri" w:cs="Calibri"/>
              </w:rPr>
            </w:pPr>
            <w:r w:rsidRPr="002C1B65">
              <w:rPr>
                <w:rFonts w:ascii="Calibri" w:hAnsi="Calibri" w:cs="Calibri"/>
              </w:rPr>
              <w:t>ESL3</w:t>
            </w:r>
          </w:p>
        </w:tc>
        <w:tc>
          <w:tcPr>
            <w:tcW w:w="1260" w:type="dxa"/>
          </w:tcPr>
          <w:p w14:paraId="49C873FE" w14:textId="77777777" w:rsidR="002C1B65" w:rsidRPr="002C1B65" w:rsidRDefault="002C1B65" w:rsidP="002C1B65">
            <w:pPr>
              <w:rPr>
                <w:rFonts w:ascii="Calibri" w:hAnsi="Calibri" w:cs="Calibri"/>
              </w:rPr>
            </w:pPr>
            <w:r w:rsidRPr="002C1B65">
              <w:rPr>
                <w:rFonts w:ascii="Calibri" w:hAnsi="Calibri" w:cs="Calibri"/>
              </w:rPr>
              <w:t>53.0%</w:t>
            </w:r>
          </w:p>
        </w:tc>
      </w:tr>
      <w:tr w:rsidR="002C1B65" w:rsidRPr="002C1B65" w14:paraId="537B6A37" w14:textId="77777777" w:rsidTr="002C1B65">
        <w:tc>
          <w:tcPr>
            <w:tcW w:w="1345" w:type="dxa"/>
          </w:tcPr>
          <w:p w14:paraId="456A0220" w14:textId="77777777" w:rsidR="002C1B65" w:rsidRPr="002C1B65" w:rsidRDefault="002C1B65" w:rsidP="002C1B65">
            <w:pPr>
              <w:rPr>
                <w:rFonts w:ascii="Calibri" w:hAnsi="Calibri" w:cs="Calibri"/>
              </w:rPr>
            </w:pPr>
            <w:r w:rsidRPr="002C1B65">
              <w:rPr>
                <w:rFonts w:ascii="Calibri" w:hAnsi="Calibri" w:cs="Calibri"/>
              </w:rPr>
              <w:t>ESL4</w:t>
            </w:r>
          </w:p>
        </w:tc>
        <w:tc>
          <w:tcPr>
            <w:tcW w:w="1260" w:type="dxa"/>
          </w:tcPr>
          <w:p w14:paraId="0EE071D3" w14:textId="77777777" w:rsidR="002C1B65" w:rsidRPr="002C1B65" w:rsidRDefault="002C1B65" w:rsidP="002C1B65">
            <w:pPr>
              <w:rPr>
                <w:rFonts w:ascii="Calibri" w:hAnsi="Calibri" w:cs="Calibri"/>
              </w:rPr>
            </w:pPr>
            <w:r w:rsidRPr="002C1B65">
              <w:rPr>
                <w:rFonts w:ascii="Calibri" w:hAnsi="Calibri" w:cs="Calibri"/>
              </w:rPr>
              <w:t>54.0%</w:t>
            </w:r>
          </w:p>
        </w:tc>
      </w:tr>
      <w:tr w:rsidR="002C1B65" w:rsidRPr="002C1B65" w14:paraId="36393D41" w14:textId="77777777" w:rsidTr="002C1B65">
        <w:tc>
          <w:tcPr>
            <w:tcW w:w="1345" w:type="dxa"/>
          </w:tcPr>
          <w:p w14:paraId="40A6B385" w14:textId="77777777" w:rsidR="002C1B65" w:rsidRPr="002C1B65" w:rsidRDefault="002C1B65" w:rsidP="002C1B65">
            <w:pPr>
              <w:rPr>
                <w:rFonts w:ascii="Calibri" w:hAnsi="Calibri" w:cs="Calibri"/>
              </w:rPr>
            </w:pPr>
            <w:r w:rsidRPr="002C1B65">
              <w:rPr>
                <w:rFonts w:ascii="Calibri" w:hAnsi="Calibri" w:cs="Calibri"/>
              </w:rPr>
              <w:t>ESL5</w:t>
            </w:r>
          </w:p>
        </w:tc>
        <w:tc>
          <w:tcPr>
            <w:tcW w:w="1260" w:type="dxa"/>
          </w:tcPr>
          <w:p w14:paraId="5641D29A" w14:textId="77777777" w:rsidR="002C1B65" w:rsidRPr="002C1B65" w:rsidRDefault="002C1B65" w:rsidP="002C1B65">
            <w:pPr>
              <w:rPr>
                <w:rFonts w:ascii="Calibri" w:hAnsi="Calibri" w:cs="Calibri"/>
              </w:rPr>
            </w:pPr>
            <w:r w:rsidRPr="002C1B65">
              <w:rPr>
                <w:rFonts w:ascii="Calibri" w:hAnsi="Calibri" w:cs="Calibri"/>
              </w:rPr>
              <w:t>42.0%</w:t>
            </w:r>
          </w:p>
        </w:tc>
      </w:tr>
      <w:tr w:rsidR="002C1B65" w:rsidRPr="002C1B65" w14:paraId="704E3953" w14:textId="77777777" w:rsidTr="002C1B65">
        <w:tc>
          <w:tcPr>
            <w:tcW w:w="1345" w:type="dxa"/>
          </w:tcPr>
          <w:p w14:paraId="4CEFC240" w14:textId="77777777" w:rsidR="002C1B65" w:rsidRPr="002C1B65" w:rsidRDefault="002C1B65" w:rsidP="002C1B65">
            <w:pPr>
              <w:rPr>
                <w:rFonts w:ascii="Calibri" w:hAnsi="Calibri" w:cs="Calibri"/>
              </w:rPr>
            </w:pPr>
            <w:r w:rsidRPr="002C1B65">
              <w:rPr>
                <w:rFonts w:ascii="Calibri" w:hAnsi="Calibri" w:cs="Calibri"/>
              </w:rPr>
              <w:t>ESL6</w:t>
            </w:r>
          </w:p>
        </w:tc>
        <w:tc>
          <w:tcPr>
            <w:tcW w:w="1260" w:type="dxa"/>
          </w:tcPr>
          <w:p w14:paraId="24FBF0B6" w14:textId="77777777" w:rsidR="002C1B65" w:rsidRPr="002C1B65" w:rsidRDefault="002C1B65" w:rsidP="002C1B65">
            <w:pPr>
              <w:rPr>
                <w:rFonts w:ascii="Calibri" w:hAnsi="Calibri" w:cs="Calibri"/>
              </w:rPr>
            </w:pPr>
            <w:r w:rsidRPr="002C1B65">
              <w:rPr>
                <w:rFonts w:ascii="Calibri" w:hAnsi="Calibri" w:cs="Calibri"/>
              </w:rPr>
              <w:t>43.0%</w:t>
            </w:r>
          </w:p>
        </w:tc>
      </w:tr>
    </w:tbl>
    <w:p w14:paraId="580FAA85" w14:textId="77777777" w:rsidR="000B086E" w:rsidRDefault="000B086E" w:rsidP="0070183D">
      <w:pPr>
        <w:spacing w:after="120"/>
      </w:pPr>
    </w:p>
    <w:sectPr w:rsidR="000B086E" w:rsidSect="00386C6A">
      <w:pgSz w:w="12240" w:h="15840"/>
      <w:pgMar w:top="432"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61568"/>
    <w:multiLevelType w:val="hybridMultilevel"/>
    <w:tmpl w:val="16260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F31C21"/>
    <w:multiLevelType w:val="hybridMultilevel"/>
    <w:tmpl w:val="16260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7C"/>
    <w:rsid w:val="0002429D"/>
    <w:rsid w:val="0005225E"/>
    <w:rsid w:val="000A137C"/>
    <w:rsid w:val="000B086E"/>
    <w:rsid w:val="000C52DB"/>
    <w:rsid w:val="002135A4"/>
    <w:rsid w:val="00240B63"/>
    <w:rsid w:val="002C1B65"/>
    <w:rsid w:val="00341D97"/>
    <w:rsid w:val="0035293D"/>
    <w:rsid w:val="00386C6A"/>
    <w:rsid w:val="00395816"/>
    <w:rsid w:val="003C300C"/>
    <w:rsid w:val="003D3C75"/>
    <w:rsid w:val="00406674"/>
    <w:rsid w:val="00417C11"/>
    <w:rsid w:val="00483863"/>
    <w:rsid w:val="005672F5"/>
    <w:rsid w:val="005D27C1"/>
    <w:rsid w:val="006050BB"/>
    <w:rsid w:val="006527AD"/>
    <w:rsid w:val="0067360B"/>
    <w:rsid w:val="006F056C"/>
    <w:rsid w:val="006F756A"/>
    <w:rsid w:val="0070183D"/>
    <w:rsid w:val="007634CA"/>
    <w:rsid w:val="00766D47"/>
    <w:rsid w:val="007936EF"/>
    <w:rsid w:val="007D240C"/>
    <w:rsid w:val="007D4877"/>
    <w:rsid w:val="007E212B"/>
    <w:rsid w:val="009B6B37"/>
    <w:rsid w:val="009E3572"/>
    <w:rsid w:val="00A70FDD"/>
    <w:rsid w:val="00A9117A"/>
    <w:rsid w:val="00B40D0B"/>
    <w:rsid w:val="00C34EF9"/>
    <w:rsid w:val="00C720E6"/>
    <w:rsid w:val="00C77DDA"/>
    <w:rsid w:val="00C91857"/>
    <w:rsid w:val="00CC590B"/>
    <w:rsid w:val="00CD2E0A"/>
    <w:rsid w:val="00D078CB"/>
    <w:rsid w:val="00DC7ED9"/>
    <w:rsid w:val="00DE0C55"/>
    <w:rsid w:val="00DE0E27"/>
    <w:rsid w:val="00EC3D31"/>
    <w:rsid w:val="00ED7999"/>
    <w:rsid w:val="00FE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9271"/>
  <w15:chartTrackingRefBased/>
  <w15:docId w15:val="{98142CC0-6C3A-467F-A05E-BB2438E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37C"/>
    <w:rPr>
      <w:sz w:val="16"/>
      <w:szCs w:val="16"/>
    </w:rPr>
  </w:style>
  <w:style w:type="paragraph" w:styleId="CommentText">
    <w:name w:val="annotation text"/>
    <w:basedOn w:val="Normal"/>
    <w:link w:val="CommentTextChar"/>
    <w:uiPriority w:val="99"/>
    <w:semiHidden/>
    <w:unhideWhenUsed/>
    <w:rsid w:val="000A137C"/>
    <w:pPr>
      <w:spacing w:line="240" w:lineRule="auto"/>
    </w:pPr>
    <w:rPr>
      <w:sz w:val="20"/>
      <w:szCs w:val="20"/>
    </w:rPr>
  </w:style>
  <w:style w:type="character" w:customStyle="1" w:styleId="CommentTextChar">
    <w:name w:val="Comment Text Char"/>
    <w:basedOn w:val="DefaultParagraphFont"/>
    <w:link w:val="CommentText"/>
    <w:uiPriority w:val="99"/>
    <w:semiHidden/>
    <w:rsid w:val="000A137C"/>
    <w:rPr>
      <w:sz w:val="20"/>
      <w:szCs w:val="20"/>
    </w:rPr>
  </w:style>
  <w:style w:type="paragraph" w:styleId="CommentSubject">
    <w:name w:val="annotation subject"/>
    <w:basedOn w:val="CommentText"/>
    <w:next w:val="CommentText"/>
    <w:link w:val="CommentSubjectChar"/>
    <w:uiPriority w:val="99"/>
    <w:semiHidden/>
    <w:unhideWhenUsed/>
    <w:rsid w:val="000A137C"/>
    <w:rPr>
      <w:b/>
      <w:bCs/>
    </w:rPr>
  </w:style>
  <w:style w:type="character" w:customStyle="1" w:styleId="CommentSubjectChar">
    <w:name w:val="Comment Subject Char"/>
    <w:basedOn w:val="CommentTextChar"/>
    <w:link w:val="CommentSubject"/>
    <w:uiPriority w:val="99"/>
    <w:semiHidden/>
    <w:rsid w:val="000A137C"/>
    <w:rPr>
      <w:b/>
      <w:bCs/>
      <w:sz w:val="20"/>
      <w:szCs w:val="20"/>
    </w:rPr>
  </w:style>
  <w:style w:type="paragraph" w:styleId="BalloonText">
    <w:name w:val="Balloon Text"/>
    <w:basedOn w:val="Normal"/>
    <w:link w:val="BalloonTextChar"/>
    <w:uiPriority w:val="99"/>
    <w:semiHidden/>
    <w:unhideWhenUsed/>
    <w:rsid w:val="000A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7C"/>
    <w:rPr>
      <w:rFonts w:ascii="Segoe UI" w:hAnsi="Segoe UI" w:cs="Segoe UI"/>
      <w:sz w:val="18"/>
      <w:szCs w:val="18"/>
    </w:rPr>
  </w:style>
  <w:style w:type="character" w:styleId="Hyperlink">
    <w:name w:val="Hyperlink"/>
    <w:basedOn w:val="DefaultParagraphFont"/>
    <w:uiPriority w:val="99"/>
    <w:unhideWhenUsed/>
    <w:rsid w:val="000A137C"/>
    <w:rPr>
      <w:color w:val="0563C1" w:themeColor="hyperlink"/>
      <w:u w:val="single"/>
    </w:rPr>
  </w:style>
  <w:style w:type="character" w:styleId="UnresolvedMention">
    <w:name w:val="Unresolved Mention"/>
    <w:basedOn w:val="DefaultParagraphFont"/>
    <w:uiPriority w:val="99"/>
    <w:semiHidden/>
    <w:unhideWhenUsed/>
    <w:rsid w:val="000A137C"/>
    <w:rPr>
      <w:color w:val="605E5C"/>
      <w:shd w:val="clear" w:color="auto" w:fill="E1DFDD"/>
    </w:rPr>
  </w:style>
  <w:style w:type="paragraph" w:styleId="ListParagraph">
    <w:name w:val="List Paragraph"/>
    <w:basedOn w:val="Normal"/>
    <w:uiPriority w:val="34"/>
    <w:qFormat/>
    <w:rsid w:val="0002429D"/>
    <w:pPr>
      <w:spacing w:after="0" w:line="240" w:lineRule="auto"/>
      <w:ind w:left="720"/>
    </w:pPr>
    <w:rPr>
      <w:rFonts w:ascii="Calibri" w:hAnsi="Calibri" w:cs="Calibri"/>
    </w:rPr>
  </w:style>
  <w:style w:type="table" w:styleId="TableGrid">
    <w:name w:val="Table Grid"/>
    <w:basedOn w:val="TableNormal"/>
    <w:uiPriority w:val="39"/>
    <w:rsid w:val="002C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2194">
      <w:bodyDiv w:val="1"/>
      <w:marLeft w:val="0"/>
      <w:marRight w:val="0"/>
      <w:marTop w:val="0"/>
      <w:marBottom w:val="0"/>
      <w:divBdr>
        <w:top w:val="none" w:sz="0" w:space="0" w:color="auto"/>
        <w:left w:val="none" w:sz="0" w:space="0" w:color="auto"/>
        <w:bottom w:val="none" w:sz="0" w:space="0" w:color="auto"/>
        <w:right w:val="none" w:sz="0" w:space="0" w:color="auto"/>
      </w:divBdr>
    </w:div>
    <w:div w:id="406347387">
      <w:bodyDiv w:val="1"/>
      <w:marLeft w:val="0"/>
      <w:marRight w:val="0"/>
      <w:marTop w:val="0"/>
      <w:marBottom w:val="0"/>
      <w:divBdr>
        <w:top w:val="none" w:sz="0" w:space="0" w:color="auto"/>
        <w:left w:val="none" w:sz="0" w:space="0" w:color="auto"/>
        <w:bottom w:val="none" w:sz="0" w:space="0" w:color="auto"/>
        <w:right w:val="none" w:sz="0" w:space="0" w:color="auto"/>
      </w:divBdr>
    </w:div>
    <w:div w:id="1251114825">
      <w:bodyDiv w:val="1"/>
      <w:marLeft w:val="0"/>
      <w:marRight w:val="0"/>
      <w:marTop w:val="0"/>
      <w:marBottom w:val="0"/>
      <w:divBdr>
        <w:top w:val="none" w:sz="0" w:space="0" w:color="auto"/>
        <w:left w:val="none" w:sz="0" w:space="0" w:color="auto"/>
        <w:bottom w:val="none" w:sz="0" w:space="0" w:color="auto"/>
        <w:right w:val="none" w:sz="0" w:space="0" w:color="auto"/>
      </w:divBdr>
    </w:div>
    <w:div w:id="19031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a.Jackson@TWC.state.tx.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Leonard@TWC.state.tx.us" TargetMode="External"/><Relationship Id="rId5" Type="http://schemas.openxmlformats.org/officeDocument/2006/relationships/styles" Target="styles.xml"/><Relationship Id="rId10" Type="http://schemas.openxmlformats.org/officeDocument/2006/relationships/hyperlink" Target="mailto:Mahalia.Baldini@TWC.state.tx.us" TargetMode="External"/><Relationship Id="rId4" Type="http://schemas.openxmlformats.org/officeDocument/2006/relationships/numbering" Target="numbering.xml"/><Relationship Id="rId9" Type="http://schemas.openxmlformats.org/officeDocument/2006/relationships/hyperlink" Target="mailto:Freda.Jackson@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A44A8C0450B4EBB59DEB3D2EAB856" ma:contentTypeVersion="12" ma:contentTypeDescription="Create a new document." ma:contentTypeScope="" ma:versionID="8dcbc85c0e4a3e0750b381f8e39695ab">
  <xsd:schema xmlns:xsd="http://www.w3.org/2001/XMLSchema" xmlns:xs="http://www.w3.org/2001/XMLSchema" xmlns:p="http://schemas.microsoft.com/office/2006/metadata/properties" xmlns:ns3="59b5326b-8e51-4463-9ab6-b4a9ab75b448" xmlns:ns4="d787cd04-ef22-41ad-a731-3af2466952be" targetNamespace="http://schemas.microsoft.com/office/2006/metadata/properties" ma:root="true" ma:fieldsID="aac8e3981a1e827131be145c171a2fd0" ns3:_="" ns4:_="">
    <xsd:import namespace="59b5326b-8e51-4463-9ab6-b4a9ab75b448"/>
    <xsd:import namespace="d787cd04-ef22-41ad-a731-3af2466952be"/>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5326b-8e51-4463-9ab6-b4a9ab75b4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7cd04-ef22-41ad-a731-3af2466952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3B32E-8EB4-445A-8ACB-14F69F0B748F}">
  <ds:schemaRefs>
    <ds:schemaRef ds:uri="http://schemas.microsoft.com/sharepoint/v3/contenttype/forms"/>
  </ds:schemaRefs>
</ds:datastoreItem>
</file>

<file path=customXml/itemProps2.xml><?xml version="1.0" encoding="utf-8"?>
<ds:datastoreItem xmlns:ds="http://schemas.openxmlformats.org/officeDocument/2006/customXml" ds:itemID="{7CB0AD34-F05C-43CB-B6CF-325B3F78D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5326b-8e51-4463-9ab6-b4a9ab75b448"/>
    <ds:schemaRef ds:uri="d787cd04-ef22-41ad-a731-3af24669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4D630-E1F7-4BE6-9026-4AA0EBACC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Baldini,Mahalia C</dc:creator>
  <cp:keywords/>
  <dc:description/>
  <cp:lastModifiedBy>Adam Leonard</cp:lastModifiedBy>
  <cp:revision>27</cp:revision>
  <dcterms:created xsi:type="dcterms:W3CDTF">2020-10-31T14:01:00Z</dcterms:created>
  <dcterms:modified xsi:type="dcterms:W3CDTF">2020-11-02T23:37:00Z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0x010100F4CA44A8C0450B4EBB59DEB3D2EAB856</vt:lpwstr>
  </property>
</Properties>
</file>